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D3BE2">
      <w:pPr>
        <w:spacing w:line="360" w:lineRule="auto"/>
        <w:jc w:val="center"/>
        <w:rPr>
          <w:rFonts w:ascii="黑体" w:hAnsi="黑体" w:eastAsia="黑体"/>
          <w:sz w:val="44"/>
          <w:szCs w:val="44"/>
        </w:rPr>
      </w:pPr>
      <w:bookmarkStart w:id="0" w:name="OLE_LINK142"/>
      <w:bookmarkStart w:id="1" w:name="OLE_LINK141"/>
    </w:p>
    <w:p w14:paraId="15DFAA3D">
      <w:pPr>
        <w:spacing w:after="312" w:afterLines="100" w:line="360" w:lineRule="auto"/>
        <w:jc w:val="center"/>
        <w:rPr>
          <w:rFonts w:ascii="黑体" w:hAnsi="黑体" w:eastAsia="黑体"/>
          <w:sz w:val="44"/>
          <w:szCs w:val="44"/>
        </w:rPr>
      </w:pPr>
      <w:r>
        <w:rPr>
          <w:rFonts w:ascii="黑体" w:hAnsi="黑体" w:eastAsia="黑体"/>
          <w:sz w:val="44"/>
          <w:szCs w:val="44"/>
        </w:rPr>
        <w:t>国家计量技术</w:t>
      </w:r>
      <w:r>
        <w:rPr>
          <w:rFonts w:hint="eastAsia" w:ascii="黑体" w:hAnsi="黑体" w:eastAsia="黑体"/>
          <w:sz w:val="44"/>
          <w:szCs w:val="44"/>
        </w:rPr>
        <w:t>规范</w:t>
      </w:r>
    </w:p>
    <w:p w14:paraId="327622F5">
      <w:pPr>
        <w:spacing w:line="360" w:lineRule="auto"/>
        <w:jc w:val="center"/>
        <w:rPr>
          <w:rFonts w:hint="default" w:ascii="黑体" w:hAnsi="黑体" w:eastAsia="黑体"/>
          <w:sz w:val="36"/>
          <w:szCs w:val="36"/>
          <w:lang w:val="en-US"/>
        </w:rPr>
      </w:pPr>
      <w:r>
        <w:rPr>
          <w:rFonts w:ascii="黑体" w:hAnsi="黑体" w:eastAsia="黑体"/>
          <w:sz w:val="36"/>
          <w:szCs w:val="36"/>
        </w:rPr>
        <w:t>《</w:t>
      </w:r>
      <w:r>
        <w:rPr>
          <w:rFonts w:hint="eastAsia" w:ascii="黑体" w:hAnsi="黑体" w:eastAsia="黑体"/>
          <w:sz w:val="36"/>
          <w:szCs w:val="36"/>
        </w:rPr>
        <w:t>直流电流比例标准装置校准规范</w:t>
      </w:r>
      <w:r>
        <w:rPr>
          <w:rFonts w:ascii="黑体" w:hAnsi="黑体" w:eastAsia="黑体"/>
          <w:sz w:val="36"/>
          <w:szCs w:val="36"/>
        </w:rPr>
        <w:t>》</w:t>
      </w:r>
      <w:r>
        <w:rPr>
          <w:rFonts w:hint="default" w:ascii="黑体" w:hAnsi="黑体" w:eastAsia="黑体"/>
          <w:sz w:val="36"/>
          <w:szCs w:val="36"/>
          <w:lang w:val="en-US"/>
        </w:rPr>
        <w:t>(</w:t>
      </w:r>
      <w:r>
        <w:rPr>
          <w:rFonts w:hint="eastAsia" w:ascii="黑体" w:hAnsi="黑体" w:eastAsia="黑体"/>
          <w:sz w:val="36"/>
          <w:szCs w:val="36"/>
          <w:lang w:val="en-US" w:eastAsia="zh-CN"/>
        </w:rPr>
        <w:t>串并联法</w:t>
      </w:r>
      <w:r>
        <w:rPr>
          <w:rFonts w:hint="default" w:ascii="黑体" w:hAnsi="黑体" w:eastAsia="黑体"/>
          <w:sz w:val="36"/>
          <w:szCs w:val="36"/>
          <w:lang w:val="en-US"/>
        </w:rPr>
        <w:t>)</w:t>
      </w:r>
    </w:p>
    <w:p w14:paraId="642F76C9">
      <w:pPr>
        <w:spacing w:line="360" w:lineRule="auto"/>
        <w:jc w:val="center"/>
        <w:rPr>
          <w:rFonts w:eastAsia="黑体"/>
          <w:b/>
          <w:sz w:val="36"/>
          <w:szCs w:val="36"/>
        </w:rPr>
      </w:pPr>
    </w:p>
    <w:p w14:paraId="0BA6F5AE">
      <w:pPr>
        <w:spacing w:line="360" w:lineRule="auto"/>
        <w:jc w:val="center"/>
        <w:rPr>
          <w:rFonts w:ascii="黑体" w:hAnsi="黑体" w:eastAsia="黑体"/>
          <w:sz w:val="44"/>
          <w:szCs w:val="44"/>
        </w:rPr>
      </w:pPr>
      <w:bookmarkStart w:id="26" w:name="_GoBack"/>
      <w:bookmarkEnd w:id="26"/>
      <w:r>
        <w:rPr>
          <w:rFonts w:ascii="黑体" w:hAnsi="黑体" w:eastAsia="黑体"/>
          <w:sz w:val="44"/>
          <w:szCs w:val="44"/>
        </w:rPr>
        <w:t>编 制 说 明</w:t>
      </w:r>
    </w:p>
    <w:bookmarkEnd w:id="0"/>
    <w:bookmarkEnd w:id="1"/>
    <w:p w14:paraId="601B3840">
      <w:pPr>
        <w:spacing w:line="360" w:lineRule="auto"/>
        <w:jc w:val="center"/>
        <w:rPr>
          <w:rFonts w:eastAsia="黑体"/>
          <w:sz w:val="36"/>
          <w:szCs w:val="28"/>
        </w:rPr>
      </w:pPr>
    </w:p>
    <w:p w14:paraId="52800C0A">
      <w:pPr>
        <w:spacing w:line="360" w:lineRule="auto"/>
        <w:jc w:val="center"/>
        <w:rPr>
          <w:rFonts w:eastAsia="黑体"/>
          <w:sz w:val="36"/>
          <w:szCs w:val="28"/>
        </w:rPr>
      </w:pPr>
    </w:p>
    <w:p w14:paraId="4764C199">
      <w:pPr>
        <w:spacing w:line="360" w:lineRule="auto"/>
        <w:jc w:val="center"/>
        <w:rPr>
          <w:rFonts w:eastAsia="黑体"/>
          <w:sz w:val="36"/>
          <w:szCs w:val="28"/>
        </w:rPr>
      </w:pPr>
    </w:p>
    <w:p w14:paraId="1C486A5C">
      <w:pPr>
        <w:spacing w:line="360" w:lineRule="auto"/>
        <w:jc w:val="center"/>
        <w:rPr>
          <w:rFonts w:eastAsia="黑体"/>
          <w:sz w:val="36"/>
          <w:szCs w:val="28"/>
        </w:rPr>
      </w:pPr>
    </w:p>
    <w:p w14:paraId="5AF7555E">
      <w:pPr>
        <w:spacing w:line="360" w:lineRule="auto"/>
        <w:jc w:val="center"/>
        <w:rPr>
          <w:rFonts w:eastAsia="黑体"/>
          <w:sz w:val="36"/>
          <w:szCs w:val="28"/>
        </w:rPr>
      </w:pPr>
    </w:p>
    <w:p w14:paraId="62D49386">
      <w:pPr>
        <w:spacing w:line="360" w:lineRule="auto"/>
        <w:jc w:val="center"/>
        <w:rPr>
          <w:rFonts w:eastAsia="黑体"/>
          <w:sz w:val="36"/>
          <w:szCs w:val="28"/>
        </w:rPr>
      </w:pPr>
    </w:p>
    <w:p w14:paraId="66F32150">
      <w:pPr>
        <w:spacing w:after="0" w:line="440" w:lineRule="exact"/>
        <w:jc w:val="center"/>
        <w:rPr>
          <w:rFonts w:ascii="黑体" w:hAnsi="黑体" w:eastAsia="黑体"/>
          <w:sz w:val="28"/>
          <w:szCs w:val="28"/>
        </w:rPr>
      </w:pPr>
      <w:bookmarkStart w:id="2" w:name="_Hlk116467268"/>
      <w:r>
        <w:rPr>
          <w:rFonts w:hint="eastAsia" w:ascii="黑体" w:hAnsi="黑体" w:eastAsia="黑体"/>
          <w:sz w:val="28"/>
          <w:szCs w:val="28"/>
        </w:rPr>
        <w:t>中国计量科学研究院</w:t>
      </w:r>
    </w:p>
    <w:p w14:paraId="0E65D415">
      <w:pPr>
        <w:spacing w:after="0" w:line="440" w:lineRule="exact"/>
        <w:jc w:val="center"/>
        <w:rPr>
          <w:rFonts w:ascii="黑体" w:hAnsi="黑体" w:eastAsia="黑体"/>
          <w:sz w:val="28"/>
          <w:szCs w:val="28"/>
        </w:rPr>
      </w:pPr>
      <w:r>
        <w:rPr>
          <w:rFonts w:hint="eastAsia" w:ascii="黑体" w:hAnsi="黑体" w:eastAsia="黑体"/>
          <w:sz w:val="28"/>
          <w:szCs w:val="28"/>
          <w:lang w:val="en-US" w:eastAsia="zh-CN"/>
        </w:rPr>
        <w:t>福建省计量科学研究院</w:t>
      </w:r>
    </w:p>
    <w:p w14:paraId="0000BF23">
      <w:pPr>
        <w:spacing w:line="460" w:lineRule="exact"/>
        <w:jc w:val="center"/>
        <w:rPr>
          <w:rFonts w:ascii="黑体" w:hAnsi="黑体" w:eastAsia="黑体"/>
          <w:sz w:val="32"/>
          <w:szCs w:val="32"/>
        </w:rPr>
      </w:pPr>
    </w:p>
    <w:p w14:paraId="641A4A81">
      <w:pPr>
        <w:spacing w:line="460" w:lineRule="exact"/>
        <w:jc w:val="center"/>
        <w:rPr>
          <w:rFonts w:ascii="黑体" w:hAnsi="黑体" w:eastAsia="黑体"/>
          <w:sz w:val="32"/>
          <w:szCs w:val="32"/>
        </w:rPr>
      </w:pPr>
    </w:p>
    <w:p w14:paraId="56CC593E">
      <w:pPr>
        <w:spacing w:line="460" w:lineRule="exact"/>
        <w:jc w:val="center"/>
        <w:rPr>
          <w:rFonts w:ascii="黑体" w:hAnsi="黑体" w:eastAsia="黑体"/>
          <w:sz w:val="32"/>
          <w:szCs w:val="32"/>
        </w:rPr>
      </w:pPr>
    </w:p>
    <w:p w14:paraId="4BE8DCB2">
      <w:pPr>
        <w:spacing w:line="460" w:lineRule="exact"/>
        <w:jc w:val="center"/>
        <w:rPr>
          <w:rFonts w:ascii="黑体" w:hAnsi="黑体" w:eastAsia="黑体"/>
          <w:sz w:val="32"/>
          <w:szCs w:val="32"/>
        </w:rPr>
      </w:pPr>
    </w:p>
    <w:p w14:paraId="4C54BB26">
      <w:pPr>
        <w:spacing w:line="460" w:lineRule="exact"/>
        <w:jc w:val="center"/>
        <w:rPr>
          <w:rFonts w:ascii="黑体" w:hAnsi="黑体" w:eastAsia="黑体"/>
          <w:sz w:val="32"/>
          <w:szCs w:val="32"/>
        </w:rPr>
      </w:pPr>
    </w:p>
    <w:p w14:paraId="73DE76E9">
      <w:pPr>
        <w:jc w:val="center"/>
        <w:rPr>
          <w:rFonts w:ascii="黑体" w:hAnsi="黑体" w:eastAsia="黑体"/>
          <w:sz w:val="32"/>
          <w:szCs w:val="32"/>
        </w:rPr>
      </w:pP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6</w:t>
      </w:r>
      <w:r>
        <w:rPr>
          <w:rFonts w:ascii="黑体" w:hAnsi="黑体" w:eastAsia="黑体"/>
          <w:sz w:val="32"/>
          <w:szCs w:val="32"/>
        </w:rPr>
        <w:t>年</w:t>
      </w:r>
      <w:r>
        <w:rPr>
          <w:rFonts w:hint="eastAsia" w:ascii="黑体" w:hAnsi="黑体" w:eastAsia="黑体"/>
          <w:sz w:val="32"/>
          <w:szCs w:val="32"/>
        </w:rPr>
        <w:t>0</w:t>
      </w:r>
      <w:r>
        <w:rPr>
          <w:rFonts w:hint="eastAsia" w:ascii="黑体" w:hAnsi="黑体" w:eastAsia="黑体"/>
          <w:sz w:val="32"/>
          <w:szCs w:val="32"/>
          <w:lang w:val="en-US" w:eastAsia="zh-CN"/>
        </w:rPr>
        <w:t>4</w:t>
      </w:r>
      <w:r>
        <w:rPr>
          <w:rFonts w:ascii="黑体" w:hAnsi="黑体" w:eastAsia="黑体"/>
          <w:sz w:val="32"/>
          <w:szCs w:val="32"/>
        </w:rPr>
        <w:t>月</w:t>
      </w:r>
    </w:p>
    <w:p w14:paraId="2E49D035">
      <w:pPr>
        <w:jc w:val="center"/>
        <w:rPr>
          <w:rFonts w:ascii="黑体" w:hAnsi="黑体" w:eastAsia="黑体"/>
          <w:sz w:val="32"/>
          <w:szCs w:val="32"/>
        </w:rPr>
      </w:pPr>
    </w:p>
    <w:bookmarkEnd w:id="2"/>
    <w:p w14:paraId="063A754E"/>
    <w:p w14:paraId="7A502ADE">
      <w:pPr>
        <w:pStyle w:val="13"/>
        <w:spacing w:before="0" w:line="500" w:lineRule="exact"/>
        <w:rPr>
          <w:rFonts w:ascii="宋体" w:hAnsi="宋体"/>
          <w:color w:val="000000"/>
          <w:sz w:val="36"/>
          <w:szCs w:val="36"/>
        </w:rPr>
      </w:pPr>
      <w:bookmarkStart w:id="3" w:name="_Toc116567667"/>
      <w:r>
        <w:rPr>
          <w:rFonts w:ascii="宋体" w:hAnsi="宋体"/>
          <w:color w:val="000000"/>
          <w:sz w:val="36"/>
          <w:szCs w:val="36"/>
        </w:rPr>
        <w:t>国家计量技术</w:t>
      </w:r>
      <w:r>
        <w:rPr>
          <w:rFonts w:hint="eastAsia" w:ascii="宋体" w:hAnsi="宋体"/>
          <w:color w:val="000000"/>
          <w:sz w:val="36"/>
          <w:szCs w:val="36"/>
        </w:rPr>
        <w:t>规范</w:t>
      </w:r>
      <w:bookmarkEnd w:id="3"/>
    </w:p>
    <w:p w14:paraId="1B8BC721">
      <w:pPr>
        <w:pStyle w:val="13"/>
        <w:spacing w:before="0" w:line="500" w:lineRule="exact"/>
        <w:jc w:val="both"/>
        <w:rPr>
          <w:rFonts w:hint="eastAsia" w:ascii="宋体" w:hAnsi="宋体" w:eastAsia="宋体"/>
          <w:color w:val="000000"/>
          <w:sz w:val="36"/>
          <w:szCs w:val="36"/>
          <w:lang w:eastAsia="zh-CN"/>
        </w:rPr>
      </w:pPr>
      <w:bookmarkStart w:id="4" w:name="_Toc116567668"/>
      <w:r>
        <w:rPr>
          <w:rFonts w:ascii="宋体" w:hAnsi="宋体"/>
          <w:color w:val="000000"/>
          <w:sz w:val="36"/>
          <w:szCs w:val="36"/>
        </w:rPr>
        <w:t>《</w:t>
      </w:r>
      <w:r>
        <w:rPr>
          <w:rFonts w:hint="eastAsia" w:ascii="宋体" w:hAnsi="宋体"/>
          <w:color w:val="000000"/>
          <w:sz w:val="36"/>
          <w:szCs w:val="36"/>
        </w:rPr>
        <w:t>直流电流比例标准装置</w:t>
      </w:r>
      <w:r>
        <w:rPr>
          <w:rFonts w:hint="eastAsia" w:ascii="宋体" w:hAnsi="宋体"/>
          <w:color w:val="000000"/>
          <w:sz w:val="36"/>
          <w:szCs w:val="36"/>
          <w:lang w:eastAsia="zh-CN"/>
        </w:rPr>
        <w:t>校准规范</w:t>
      </w:r>
      <w:r>
        <w:rPr>
          <w:rFonts w:ascii="宋体" w:hAnsi="宋体"/>
          <w:color w:val="000000"/>
          <w:sz w:val="36"/>
          <w:szCs w:val="36"/>
        </w:rPr>
        <w:t>》</w:t>
      </w:r>
      <w:bookmarkEnd w:id="4"/>
      <w:r>
        <w:rPr>
          <w:rFonts w:hint="eastAsia" w:ascii="宋体" w:hAnsi="宋体"/>
          <w:color w:val="000000"/>
          <w:sz w:val="36"/>
          <w:szCs w:val="36"/>
          <w:lang w:eastAsia="zh-CN"/>
        </w:rPr>
        <w:t>（</w:t>
      </w:r>
      <w:r>
        <w:rPr>
          <w:rFonts w:hint="eastAsia" w:ascii="宋体" w:hAnsi="宋体"/>
          <w:color w:val="000000"/>
          <w:sz w:val="36"/>
          <w:szCs w:val="36"/>
          <w:lang w:val="en-US" w:eastAsia="zh-CN"/>
        </w:rPr>
        <w:t>串并联法</w:t>
      </w:r>
      <w:r>
        <w:rPr>
          <w:rFonts w:hint="eastAsia" w:ascii="宋体" w:hAnsi="宋体"/>
          <w:color w:val="000000"/>
          <w:sz w:val="36"/>
          <w:szCs w:val="36"/>
          <w:lang w:eastAsia="zh-CN"/>
        </w:rPr>
        <w:t>）</w:t>
      </w:r>
    </w:p>
    <w:p w14:paraId="514ED529">
      <w:pPr>
        <w:pStyle w:val="13"/>
        <w:spacing w:before="120" w:after="240"/>
        <w:rPr>
          <w:rFonts w:ascii="Times New Roman" w:hAnsi="Times New Roman"/>
        </w:rPr>
      </w:pPr>
      <w:bookmarkStart w:id="5" w:name="_Toc116567669"/>
      <w:r>
        <w:rPr>
          <w:rFonts w:ascii="Times New Roman" w:hAnsi="Times New Roman"/>
        </w:rPr>
        <w:t>编制说明</w:t>
      </w:r>
      <w:bookmarkEnd w:id="5"/>
    </w:p>
    <w:p w14:paraId="2DDAC848">
      <w:pPr>
        <w:pStyle w:val="11"/>
        <w:spacing w:after="0"/>
        <w:rPr>
          <w:sz w:val="28"/>
          <w:szCs w:val="28"/>
        </w:rPr>
      </w:pPr>
      <w:bookmarkStart w:id="6" w:name="_Toc116567851"/>
      <w:bookmarkStart w:id="7" w:name="_Toc116567670"/>
      <w:bookmarkStart w:id="8" w:name="_Hlk71556174"/>
      <w:r>
        <w:rPr>
          <w:rFonts w:hint="eastAsia"/>
          <w:sz w:val="28"/>
          <w:szCs w:val="28"/>
        </w:rPr>
        <w:t>一、工作简况，包括任务来源、制定背景、起草过程等。</w:t>
      </w:r>
      <w:bookmarkEnd w:id="6"/>
      <w:bookmarkEnd w:id="7"/>
    </w:p>
    <w:p w14:paraId="47E952F3">
      <w:pPr>
        <w:pStyle w:val="27"/>
        <w:numPr>
          <w:ilvl w:val="0"/>
          <w:numId w:val="1"/>
        </w:numPr>
        <w:spacing w:after="0" w:line="360" w:lineRule="auto"/>
        <w:ind w:firstLineChars="0"/>
        <w:rPr>
          <w:rFonts w:ascii="宋体"/>
          <w:sz w:val="24"/>
          <w:szCs w:val="20"/>
        </w:rPr>
      </w:pPr>
      <w:r>
        <w:rPr>
          <w:rFonts w:hint="eastAsia" w:ascii="宋体"/>
          <w:sz w:val="24"/>
          <w:szCs w:val="20"/>
        </w:rPr>
        <w:t>任务来源</w:t>
      </w:r>
    </w:p>
    <w:p w14:paraId="416A8DA3">
      <w:pPr>
        <w:spacing w:after="0" w:line="360" w:lineRule="auto"/>
        <w:ind w:firstLine="600" w:firstLineChars="250"/>
        <w:jc w:val="both"/>
        <w:rPr>
          <w:color w:val="FF0000"/>
          <w:sz w:val="28"/>
          <w:szCs w:val="28"/>
        </w:rPr>
      </w:pPr>
      <w:r>
        <w:rPr>
          <w:rFonts w:hint="eastAsia" w:ascii="宋体"/>
          <w:sz w:val="24"/>
          <w:szCs w:val="20"/>
        </w:rPr>
        <w:t>国家计量技术规范《直流电流比例标准装置</w:t>
      </w:r>
      <w:r>
        <w:rPr>
          <w:rFonts w:hint="eastAsia" w:ascii="宋体"/>
          <w:sz w:val="24"/>
          <w:szCs w:val="20"/>
          <w:lang w:eastAsia="zh-CN"/>
        </w:rPr>
        <w:t>校准规范</w:t>
      </w:r>
      <w:r>
        <w:rPr>
          <w:rFonts w:hint="eastAsia" w:ascii="宋体"/>
          <w:sz w:val="24"/>
          <w:szCs w:val="20"/>
        </w:rPr>
        <w:t>》</w:t>
      </w:r>
      <w:r>
        <w:rPr>
          <w:rFonts w:hint="eastAsia" w:ascii="宋体"/>
          <w:sz w:val="24"/>
          <w:szCs w:val="20"/>
          <w:lang w:val="en-US" w:eastAsia="zh-CN"/>
        </w:rPr>
        <w:t>依据</w:t>
      </w:r>
      <w:r>
        <w:rPr>
          <w:rFonts w:hint="eastAsia" w:ascii="宋体"/>
          <w:sz w:val="24"/>
          <w:szCs w:val="20"/>
        </w:rPr>
        <w:t>国家市场总局《</w:t>
      </w:r>
      <w:r>
        <w:rPr>
          <w:rFonts w:hint="eastAsia" w:ascii="宋体"/>
          <w:sz w:val="24"/>
          <w:szCs w:val="20"/>
          <w:lang w:val="en-US" w:eastAsia="zh-CN"/>
        </w:rPr>
        <w:t>2025</w:t>
      </w:r>
      <w:r>
        <w:rPr>
          <w:rFonts w:hint="eastAsia" w:ascii="宋体"/>
          <w:sz w:val="24"/>
          <w:szCs w:val="20"/>
        </w:rPr>
        <w:t>国家计量技术规范制定、修订及宣贯计划的通知》（市监</w:t>
      </w:r>
      <w:r>
        <w:rPr>
          <w:rFonts w:hint="eastAsia" w:ascii="宋体"/>
          <w:sz w:val="24"/>
          <w:szCs w:val="20"/>
          <w:lang w:val="en-US" w:eastAsia="zh-CN"/>
        </w:rPr>
        <w:t>计量发</w:t>
      </w:r>
      <w:r>
        <w:rPr>
          <w:rFonts w:hint="eastAsia" w:ascii="宋体"/>
          <w:sz w:val="24"/>
          <w:szCs w:val="20"/>
        </w:rPr>
        <w:t>【20</w:t>
      </w:r>
      <w:r>
        <w:rPr>
          <w:rFonts w:hint="eastAsia" w:ascii="宋体"/>
          <w:sz w:val="24"/>
          <w:szCs w:val="20"/>
          <w:lang w:val="en-US" w:eastAsia="zh-CN"/>
        </w:rPr>
        <w:t>25</w:t>
      </w:r>
      <w:r>
        <w:rPr>
          <w:rFonts w:hint="eastAsia" w:ascii="宋体"/>
          <w:sz w:val="24"/>
          <w:szCs w:val="20"/>
        </w:rPr>
        <w:t>】</w:t>
      </w:r>
      <w:r>
        <w:rPr>
          <w:rFonts w:hint="eastAsia" w:ascii="宋体"/>
          <w:sz w:val="24"/>
          <w:szCs w:val="20"/>
          <w:lang w:val="en-US" w:eastAsia="zh-CN"/>
        </w:rPr>
        <w:t>4</w:t>
      </w:r>
      <w:r>
        <w:rPr>
          <w:rFonts w:hint="eastAsia" w:ascii="宋体"/>
          <w:sz w:val="24"/>
          <w:szCs w:val="20"/>
        </w:rPr>
        <w:t>5号）</w:t>
      </w:r>
      <w:r>
        <w:rPr>
          <w:rFonts w:ascii="宋体"/>
          <w:sz w:val="24"/>
          <w:szCs w:val="20"/>
        </w:rPr>
        <w:t>，由全国电磁计量技术委员会归口组织制定。</w:t>
      </w:r>
    </w:p>
    <w:p w14:paraId="7BC4E775">
      <w:pPr>
        <w:pStyle w:val="27"/>
        <w:numPr>
          <w:ilvl w:val="0"/>
          <w:numId w:val="1"/>
        </w:numPr>
        <w:spacing w:after="0" w:line="360" w:lineRule="auto"/>
        <w:ind w:firstLineChars="0"/>
        <w:rPr>
          <w:rFonts w:ascii="宋体"/>
          <w:sz w:val="24"/>
          <w:szCs w:val="20"/>
        </w:rPr>
      </w:pPr>
      <w:r>
        <w:rPr>
          <w:rFonts w:hint="eastAsia" w:ascii="宋体"/>
          <w:sz w:val="24"/>
          <w:szCs w:val="20"/>
        </w:rPr>
        <w:t>制定背景</w:t>
      </w:r>
    </w:p>
    <w:p w14:paraId="411AD615">
      <w:pPr>
        <w:spacing w:after="0" w:line="360" w:lineRule="auto"/>
        <w:ind w:firstLine="480" w:firstLineChars="200"/>
        <w:rPr>
          <w:rFonts w:hint="eastAsia" w:ascii="宋体"/>
          <w:sz w:val="24"/>
          <w:szCs w:val="20"/>
        </w:rPr>
      </w:pPr>
      <w:r>
        <w:rPr>
          <w:rFonts w:hint="eastAsia" w:ascii="宋体"/>
          <w:sz w:val="24"/>
          <w:szCs w:val="20"/>
        </w:rPr>
        <w:t>直流大电流比例标准装置是直流电流比例量值传递体系中的核心计量器具，广泛应用于电力系统、新能源产业、电化学冶金、核物理及高能物理科学研究等领域。为确保该比例标准的量值准确可靠，制定相应的国家计量技术规范具有重要的现实意义。直流电流比例作为电磁计量领域的核心技术之一，其自校准方法的规范化，是落实国家计量发展规划、完善计量技术规范体系的具体举措。</w:t>
      </w:r>
    </w:p>
    <w:p w14:paraId="61D1FF6E">
      <w:pPr>
        <w:spacing w:after="0" w:line="360" w:lineRule="auto"/>
        <w:ind w:firstLine="480" w:firstLineChars="200"/>
        <w:rPr>
          <w:rFonts w:hint="eastAsia" w:ascii="宋体"/>
          <w:sz w:val="24"/>
          <w:szCs w:val="20"/>
        </w:rPr>
      </w:pPr>
      <w:r>
        <w:rPr>
          <w:rFonts w:hint="eastAsia" w:ascii="宋体"/>
          <w:sz w:val="24"/>
          <w:szCs w:val="20"/>
        </w:rPr>
        <w:t>直流电流比例标准的量值溯源与校准工作虽已开展多年，但一直缺乏专门的直流比例</w:t>
      </w:r>
      <w:r>
        <w:rPr>
          <w:rFonts w:hint="eastAsia" w:ascii="宋体"/>
          <w:sz w:val="24"/>
          <w:szCs w:val="20"/>
          <w:lang w:eastAsia="zh-CN"/>
        </w:rPr>
        <w:t>校准规范</w:t>
      </w:r>
      <w:r>
        <w:rPr>
          <w:rFonts w:hint="eastAsia" w:ascii="宋体"/>
          <w:sz w:val="24"/>
          <w:szCs w:val="20"/>
        </w:rPr>
        <w:t>。制定本规范不仅能够填补现有规范体系的空白，更是应对技术发展新需求的必然选择。直流大电流的精确测量在诸多关键领域具有广泛而迫切的应用需求。在电力系统领域，直流输电系统需要对换流站各母线上数百至数千安的电流进行准确测量，以实现系统的控制与保护。在新能源产业领域，随着光伏、风电及电动汽车充电设施等新型源荷广泛接入电网，电力系统呈现出“宽频域、宽动态、强随机、广域海量”的复杂特征，对直流大电流的精准计量提出了更高要求。在工业生产和科学研究领域，金属冶炼中采用强直流电通过电解法分解铝、铜、铅、锌等产品，电解电流从数千安到数百千安，强磁场环境对电流测量设备产生显著影响。在计量技术前沿领域，各项技术突破持续推动直流电流比例测量精度的提升，对配套校准规范提出了更高的技术标准要求。</w:t>
      </w:r>
    </w:p>
    <w:p w14:paraId="46EC6E4F">
      <w:pPr>
        <w:spacing w:after="0" w:line="360" w:lineRule="auto"/>
        <w:ind w:firstLine="480" w:firstLineChars="200"/>
        <w:rPr>
          <w:rFonts w:hint="eastAsia" w:ascii="宋体"/>
          <w:sz w:val="24"/>
          <w:szCs w:val="20"/>
        </w:rPr>
      </w:pPr>
      <w:r>
        <w:rPr>
          <w:rFonts w:hint="eastAsia" w:ascii="宋体"/>
          <w:sz w:val="24"/>
          <w:szCs w:val="20"/>
        </w:rPr>
        <w:t>直流大电流与冶金、化工、电镀、电动汽车充电、直流输电等大量消耗电能的工业生产密切相关，准确测量直流大电流可为节能减排提供基础数据。同时，核物理、高能物理等科学研究中也需开展精确的直流大电流测量、控制与校准。因此，</w:t>
      </w:r>
      <w:r>
        <w:rPr>
          <w:rFonts w:hint="eastAsia" w:ascii="宋体"/>
          <w:sz w:val="24"/>
          <w:szCs w:val="20"/>
          <w:lang w:val="en-US" w:eastAsia="zh-CN"/>
        </w:rPr>
        <w:t>制定</w:t>
      </w:r>
      <w:r>
        <w:rPr>
          <w:rFonts w:hint="eastAsia" w:ascii="宋体"/>
          <w:sz w:val="24"/>
          <w:szCs w:val="20"/>
        </w:rPr>
        <w:t>直流电流比例标准装置</w:t>
      </w:r>
      <w:r>
        <w:rPr>
          <w:rFonts w:hint="eastAsia" w:ascii="宋体"/>
          <w:sz w:val="24"/>
          <w:szCs w:val="20"/>
          <w:lang w:eastAsia="zh-CN"/>
        </w:rPr>
        <w:t>校准规范，</w:t>
      </w:r>
      <w:r>
        <w:rPr>
          <w:rFonts w:hint="eastAsia" w:ascii="宋体"/>
          <w:sz w:val="24"/>
          <w:szCs w:val="20"/>
        </w:rPr>
        <w:t>建立高准确度的直流大电流比例国家计量基准，是满足相关工业和科学实验对直流大电流及比例溯源需求的重要技术基础。而建立该国家基准的前提是复现高准确度的直流电流比例，为此迫切需要制定《直流电流比例标准装置</w:t>
      </w:r>
      <w:r>
        <w:rPr>
          <w:rFonts w:hint="eastAsia" w:ascii="宋体"/>
          <w:sz w:val="24"/>
          <w:szCs w:val="20"/>
          <w:lang w:eastAsia="zh-CN"/>
        </w:rPr>
        <w:t>校准规范</w:t>
      </w:r>
      <w:r>
        <w:rPr>
          <w:rFonts w:hint="eastAsia" w:ascii="宋体"/>
          <w:sz w:val="24"/>
          <w:szCs w:val="20"/>
        </w:rPr>
        <w:t>》，以规范和完善直流电流比例的自校准方法。</w:t>
      </w:r>
    </w:p>
    <w:p w14:paraId="32624240">
      <w:pPr>
        <w:spacing w:after="0" w:line="360" w:lineRule="auto"/>
        <w:ind w:firstLine="480" w:firstLineChars="200"/>
        <w:rPr>
          <w:rFonts w:hint="eastAsia" w:ascii="宋体"/>
          <w:sz w:val="24"/>
          <w:szCs w:val="20"/>
        </w:rPr>
      </w:pPr>
      <w:r>
        <w:rPr>
          <w:rFonts w:hint="eastAsia" w:ascii="宋体"/>
          <w:sz w:val="24"/>
          <w:szCs w:val="20"/>
        </w:rPr>
        <w:t>综上所述，《直流电流比例标准装置</w:t>
      </w:r>
      <w:r>
        <w:rPr>
          <w:rFonts w:hint="eastAsia" w:ascii="宋体"/>
          <w:sz w:val="24"/>
          <w:szCs w:val="20"/>
          <w:lang w:eastAsia="zh-CN"/>
        </w:rPr>
        <w:t>校准规范</w:t>
      </w:r>
      <w:r>
        <w:rPr>
          <w:rFonts w:hint="eastAsia" w:ascii="宋体"/>
          <w:sz w:val="24"/>
          <w:szCs w:val="20"/>
        </w:rPr>
        <w:t>》的制定，是贯彻落实国家计量发展规划和计量技术规范提档升级行动方案的必然要求，是填补现有规范体系空白、适应技术进步发展的客观需要，也是服务国家重大战略、支撑新兴产业和民生领域精准计量的重要举措。本规范的出台，将有效统一直流电流比例标准的自校准方法，提升我国直流电流比例量值的准确性和溯源性，进一步完善国家现代先进测量体系。</w:t>
      </w:r>
    </w:p>
    <w:p w14:paraId="5E48AC39">
      <w:pPr>
        <w:pStyle w:val="27"/>
        <w:numPr>
          <w:ilvl w:val="0"/>
          <w:numId w:val="1"/>
        </w:numPr>
        <w:spacing w:after="0" w:line="360" w:lineRule="auto"/>
        <w:ind w:firstLineChars="0"/>
        <w:rPr>
          <w:rFonts w:ascii="宋体"/>
          <w:sz w:val="24"/>
          <w:szCs w:val="20"/>
        </w:rPr>
      </w:pPr>
      <w:r>
        <w:rPr>
          <w:rFonts w:hint="eastAsia" w:ascii="宋体"/>
          <w:sz w:val="24"/>
          <w:szCs w:val="20"/>
        </w:rPr>
        <w:t>起草过程</w:t>
      </w:r>
    </w:p>
    <w:p w14:paraId="52855302">
      <w:pPr>
        <w:spacing w:after="0" w:line="360" w:lineRule="auto"/>
        <w:ind w:firstLine="480" w:firstLineChars="200"/>
        <w:rPr>
          <w:rFonts w:hint="default" w:ascii="宋体"/>
          <w:sz w:val="24"/>
          <w:szCs w:val="20"/>
          <w:lang w:val="en-US" w:eastAsia="zh-CN"/>
        </w:rPr>
      </w:pPr>
      <w:r>
        <w:rPr>
          <w:rFonts w:hint="eastAsia" w:ascii="宋体"/>
          <w:sz w:val="24"/>
          <w:szCs w:val="20"/>
          <w:lang w:val="en-US" w:eastAsia="zh-CN"/>
        </w:rPr>
        <w:t>本</w:t>
      </w:r>
      <w:r>
        <w:rPr>
          <w:rFonts w:hint="eastAsia" w:ascii="宋体"/>
          <w:sz w:val="24"/>
          <w:szCs w:val="20"/>
        </w:rPr>
        <w:t>规范</w:t>
      </w:r>
      <w:r>
        <w:rPr>
          <w:rFonts w:hint="eastAsia" w:ascii="宋体"/>
          <w:sz w:val="24"/>
          <w:szCs w:val="20"/>
          <w:lang w:val="en-US" w:eastAsia="zh-CN"/>
        </w:rPr>
        <w:t>指导专家：马雪锋</w:t>
      </w:r>
    </w:p>
    <w:p w14:paraId="52184441">
      <w:pPr>
        <w:spacing w:after="0" w:line="360" w:lineRule="auto"/>
        <w:ind w:left="479" w:leftChars="228" w:firstLine="0" w:firstLineChars="0"/>
        <w:rPr>
          <w:rFonts w:hint="eastAsia" w:ascii="宋体"/>
          <w:sz w:val="24"/>
          <w:szCs w:val="20"/>
        </w:rPr>
      </w:pPr>
      <w:r>
        <w:rPr>
          <w:rFonts w:hint="eastAsia" w:ascii="宋体"/>
          <w:sz w:val="24"/>
          <w:szCs w:val="20"/>
          <w:lang w:val="en-US" w:eastAsia="zh-CN"/>
        </w:rPr>
        <w:t>规范</w:t>
      </w:r>
      <w:r>
        <w:rPr>
          <w:rFonts w:hint="eastAsia" w:ascii="宋体"/>
          <w:sz w:val="24"/>
          <w:szCs w:val="20"/>
        </w:rPr>
        <w:t>起草单位</w:t>
      </w:r>
      <w:r>
        <w:rPr>
          <w:rFonts w:hint="eastAsia" w:ascii="宋体"/>
          <w:sz w:val="24"/>
          <w:szCs w:val="20"/>
          <w:lang w:eastAsia="zh-CN"/>
        </w:rPr>
        <w:t>：</w:t>
      </w:r>
      <w:r>
        <w:rPr>
          <w:rFonts w:hint="eastAsia" w:ascii="宋体"/>
          <w:sz w:val="24"/>
          <w:szCs w:val="20"/>
          <w:lang w:val="en-US" w:eastAsia="zh-CN"/>
        </w:rPr>
        <w:t>2个</w:t>
      </w:r>
      <w:r>
        <w:rPr>
          <w:rFonts w:hint="eastAsia" w:ascii="宋体"/>
          <w:sz w:val="24"/>
          <w:szCs w:val="20"/>
          <w:lang w:eastAsia="zh-CN"/>
        </w:rPr>
        <w:t>，</w:t>
      </w:r>
      <w:r>
        <w:rPr>
          <w:rFonts w:hint="eastAsia" w:ascii="宋体"/>
          <w:sz w:val="24"/>
          <w:szCs w:val="20"/>
          <w:lang w:val="en-US" w:eastAsia="zh-CN"/>
        </w:rPr>
        <w:t>分别是</w:t>
      </w:r>
      <w:r>
        <w:rPr>
          <w:rFonts w:hint="eastAsia" w:ascii="宋体"/>
          <w:sz w:val="24"/>
          <w:szCs w:val="20"/>
        </w:rPr>
        <w:t>中国计量科学研究院、</w:t>
      </w:r>
      <w:r>
        <w:rPr>
          <w:rFonts w:hint="eastAsia" w:ascii="宋体"/>
          <w:sz w:val="24"/>
          <w:szCs w:val="20"/>
          <w:lang w:val="en-US" w:eastAsia="zh-CN"/>
        </w:rPr>
        <w:t>福建省计量科学研究院</w:t>
      </w:r>
      <w:r>
        <w:rPr>
          <w:rFonts w:hint="eastAsia" w:ascii="宋体"/>
          <w:sz w:val="24"/>
          <w:szCs w:val="20"/>
        </w:rPr>
        <w:t>；</w:t>
      </w:r>
      <w:r>
        <w:rPr>
          <w:rFonts w:hint="eastAsia" w:ascii="宋体"/>
          <w:sz w:val="24"/>
          <w:szCs w:val="20"/>
          <w:lang w:val="en-US" w:eastAsia="zh-CN"/>
        </w:rPr>
        <w:t>规范制定工作组成员4</w:t>
      </w:r>
      <w:r>
        <w:rPr>
          <w:rFonts w:hint="eastAsia" w:ascii="宋体"/>
          <w:sz w:val="24"/>
          <w:szCs w:val="20"/>
        </w:rPr>
        <w:t>人：林飞鹏、邵海明、</w:t>
      </w:r>
      <w:r>
        <w:rPr>
          <w:rFonts w:hint="eastAsia" w:ascii="宋体"/>
          <w:sz w:val="24"/>
          <w:szCs w:val="20"/>
          <w:lang w:val="en-US" w:eastAsia="zh-CN"/>
        </w:rPr>
        <w:t>马平</w:t>
      </w:r>
      <w:r>
        <w:rPr>
          <w:rFonts w:hint="eastAsia" w:ascii="宋体"/>
          <w:sz w:val="24"/>
          <w:szCs w:val="20"/>
        </w:rPr>
        <w:t>和</w:t>
      </w:r>
      <w:r>
        <w:rPr>
          <w:rFonts w:hint="eastAsia" w:ascii="宋体"/>
          <w:sz w:val="24"/>
          <w:szCs w:val="20"/>
          <w:lang w:val="en-US" w:eastAsia="zh-CN"/>
        </w:rPr>
        <w:t>张煌辉</w:t>
      </w:r>
      <w:r>
        <w:rPr>
          <w:rFonts w:hint="eastAsia" w:ascii="宋体"/>
          <w:sz w:val="24"/>
          <w:szCs w:val="20"/>
        </w:rPr>
        <w:t>。</w:t>
      </w:r>
    </w:p>
    <w:p w14:paraId="04D158ED">
      <w:pPr>
        <w:spacing w:after="0" w:line="360" w:lineRule="auto"/>
        <w:ind w:left="479" w:leftChars="228" w:firstLine="0" w:firstLineChars="0"/>
        <w:rPr>
          <w:rFonts w:hint="default" w:ascii="宋体" w:eastAsia="宋体"/>
          <w:sz w:val="24"/>
          <w:szCs w:val="20"/>
          <w:lang w:val="en-US" w:eastAsia="zh-CN"/>
        </w:rPr>
      </w:pPr>
      <w:r>
        <w:rPr>
          <w:rFonts w:hint="eastAsia" w:ascii="宋体"/>
          <w:sz w:val="24"/>
          <w:szCs w:val="20"/>
          <w:lang w:val="en-US" w:eastAsia="zh-CN"/>
        </w:rPr>
        <w:t>规范制定工作主要节点如下：</w:t>
      </w:r>
    </w:p>
    <w:p w14:paraId="1BFFC5B7">
      <w:pPr>
        <w:pStyle w:val="27"/>
        <w:numPr>
          <w:ilvl w:val="0"/>
          <w:numId w:val="2"/>
        </w:numPr>
        <w:spacing w:after="0" w:line="360" w:lineRule="auto"/>
        <w:ind w:firstLineChars="0"/>
        <w:rPr>
          <w:rFonts w:ascii="宋体"/>
          <w:sz w:val="24"/>
          <w:szCs w:val="20"/>
        </w:rPr>
      </w:pPr>
      <w:r>
        <w:rPr>
          <w:rFonts w:ascii="宋体"/>
          <w:sz w:val="24"/>
          <w:szCs w:val="20"/>
        </w:rPr>
        <w:t>20</w:t>
      </w:r>
      <w:r>
        <w:rPr>
          <w:rFonts w:hint="eastAsia" w:ascii="宋体"/>
          <w:sz w:val="24"/>
          <w:szCs w:val="20"/>
          <w:lang w:val="en-US" w:eastAsia="zh-CN"/>
        </w:rPr>
        <w:t>25</w:t>
      </w:r>
      <w:r>
        <w:rPr>
          <w:rFonts w:hint="eastAsia" w:ascii="宋体"/>
          <w:sz w:val="24"/>
          <w:szCs w:val="20"/>
        </w:rPr>
        <w:t>年0</w:t>
      </w:r>
      <w:r>
        <w:rPr>
          <w:rFonts w:hint="eastAsia" w:ascii="宋体"/>
          <w:sz w:val="24"/>
          <w:szCs w:val="20"/>
          <w:lang w:val="en-US" w:eastAsia="zh-CN"/>
        </w:rPr>
        <w:t>5</w:t>
      </w:r>
      <w:r>
        <w:rPr>
          <w:rFonts w:hint="eastAsia" w:ascii="宋体"/>
          <w:sz w:val="24"/>
          <w:szCs w:val="20"/>
        </w:rPr>
        <w:t>月，</w:t>
      </w:r>
      <w:r>
        <w:rPr>
          <w:rFonts w:hint="eastAsia" w:ascii="宋体"/>
          <w:sz w:val="24"/>
          <w:szCs w:val="20"/>
          <w:lang w:val="en-US" w:eastAsia="zh-CN"/>
        </w:rPr>
        <w:t>项目</w:t>
      </w:r>
      <w:r>
        <w:rPr>
          <w:rFonts w:hint="eastAsia" w:ascii="宋体"/>
          <w:sz w:val="24"/>
          <w:szCs w:val="20"/>
        </w:rPr>
        <w:t>计划</w:t>
      </w:r>
      <w:r>
        <w:rPr>
          <w:rFonts w:hint="eastAsia" w:ascii="宋体"/>
          <w:sz w:val="24"/>
          <w:szCs w:val="20"/>
          <w:lang w:val="en-US" w:eastAsia="zh-CN"/>
        </w:rPr>
        <w:t>正式</w:t>
      </w:r>
      <w:r>
        <w:rPr>
          <w:rFonts w:hint="eastAsia" w:ascii="宋体"/>
          <w:sz w:val="24"/>
          <w:szCs w:val="20"/>
        </w:rPr>
        <w:t>下达</w:t>
      </w:r>
      <w:r>
        <w:rPr>
          <w:rFonts w:hint="eastAsia" w:ascii="宋体"/>
          <w:sz w:val="24"/>
          <w:szCs w:val="20"/>
          <w:lang w:eastAsia="zh-CN"/>
        </w:rPr>
        <w:t>。</w:t>
      </w:r>
      <w:r>
        <w:rPr>
          <w:rFonts w:hint="eastAsia" w:ascii="宋体"/>
          <w:sz w:val="24"/>
          <w:szCs w:val="20"/>
          <w:lang w:val="en-US" w:eastAsia="zh-CN"/>
        </w:rPr>
        <w:t>依据</w:t>
      </w:r>
      <w:r>
        <w:rPr>
          <w:rFonts w:hint="eastAsia" w:ascii="宋体"/>
          <w:sz w:val="24"/>
          <w:szCs w:val="20"/>
        </w:rPr>
        <w:t>国家市场</w:t>
      </w:r>
      <w:r>
        <w:rPr>
          <w:rFonts w:hint="eastAsia" w:ascii="宋体"/>
          <w:sz w:val="24"/>
          <w:szCs w:val="20"/>
          <w:lang w:val="en-US" w:eastAsia="zh-CN"/>
        </w:rPr>
        <w:t>监督管理</w:t>
      </w:r>
      <w:r>
        <w:rPr>
          <w:rFonts w:hint="eastAsia" w:ascii="宋体"/>
          <w:sz w:val="24"/>
          <w:szCs w:val="20"/>
        </w:rPr>
        <w:t>总局《</w:t>
      </w:r>
      <w:r>
        <w:rPr>
          <w:rFonts w:hint="eastAsia" w:ascii="宋体"/>
          <w:sz w:val="24"/>
          <w:szCs w:val="20"/>
          <w:lang w:val="en-US" w:eastAsia="zh-CN"/>
        </w:rPr>
        <w:t>2025</w:t>
      </w:r>
      <w:r>
        <w:rPr>
          <w:rFonts w:hint="eastAsia" w:ascii="宋体"/>
          <w:sz w:val="24"/>
          <w:szCs w:val="20"/>
        </w:rPr>
        <w:t>国家计量技术规范制定、修订及宣贯计划的通知》（市监</w:t>
      </w:r>
      <w:r>
        <w:rPr>
          <w:rFonts w:hint="eastAsia" w:ascii="宋体"/>
          <w:sz w:val="24"/>
          <w:szCs w:val="20"/>
          <w:lang w:val="en-US" w:eastAsia="zh-CN"/>
        </w:rPr>
        <w:t>计量发</w:t>
      </w:r>
      <w:r>
        <w:rPr>
          <w:rFonts w:hint="eastAsia" w:ascii="宋体"/>
          <w:sz w:val="24"/>
          <w:szCs w:val="20"/>
        </w:rPr>
        <w:t>【20</w:t>
      </w:r>
      <w:r>
        <w:rPr>
          <w:rFonts w:hint="eastAsia" w:ascii="宋体"/>
          <w:sz w:val="24"/>
          <w:szCs w:val="20"/>
          <w:lang w:val="en-US" w:eastAsia="zh-CN"/>
        </w:rPr>
        <w:t>25</w:t>
      </w:r>
      <w:r>
        <w:rPr>
          <w:rFonts w:hint="eastAsia" w:ascii="宋体"/>
          <w:sz w:val="24"/>
          <w:szCs w:val="20"/>
        </w:rPr>
        <w:t>】</w:t>
      </w:r>
      <w:r>
        <w:rPr>
          <w:rFonts w:hint="eastAsia" w:ascii="宋体"/>
          <w:sz w:val="24"/>
          <w:szCs w:val="20"/>
          <w:lang w:val="en-US" w:eastAsia="zh-CN"/>
        </w:rPr>
        <w:t>4</w:t>
      </w:r>
      <w:r>
        <w:rPr>
          <w:rFonts w:hint="eastAsia" w:ascii="宋体"/>
          <w:sz w:val="24"/>
          <w:szCs w:val="20"/>
        </w:rPr>
        <w:t>5号）</w:t>
      </w:r>
      <w:r>
        <w:rPr>
          <w:rFonts w:hint="eastAsia" w:ascii="宋体"/>
          <w:sz w:val="24"/>
          <w:szCs w:val="20"/>
          <w:lang w:eastAsia="zh-CN"/>
        </w:rPr>
        <w:t>，</w:t>
      </w:r>
      <w:r>
        <w:rPr>
          <w:rFonts w:hint="eastAsia" w:ascii="宋体"/>
          <w:sz w:val="24"/>
          <w:szCs w:val="20"/>
          <w:lang w:val="en-US" w:eastAsia="zh-CN"/>
        </w:rPr>
        <w:t>本规范被列入制定计划</w:t>
      </w:r>
      <w:r>
        <w:rPr>
          <w:rFonts w:hint="eastAsia" w:ascii="宋体"/>
          <w:sz w:val="24"/>
          <w:szCs w:val="20"/>
        </w:rPr>
        <w:t>。</w:t>
      </w:r>
    </w:p>
    <w:p w14:paraId="2E5B0554">
      <w:pPr>
        <w:pStyle w:val="27"/>
        <w:numPr>
          <w:ilvl w:val="0"/>
          <w:numId w:val="2"/>
        </w:numPr>
        <w:spacing w:after="0" w:line="360" w:lineRule="auto"/>
        <w:ind w:firstLineChars="0"/>
        <w:rPr>
          <w:rFonts w:ascii="宋体"/>
          <w:sz w:val="24"/>
          <w:szCs w:val="20"/>
        </w:rPr>
      </w:pPr>
      <w:r>
        <w:rPr>
          <w:rFonts w:hint="eastAsia" w:ascii="宋体"/>
          <w:sz w:val="24"/>
          <w:szCs w:val="20"/>
          <w:lang w:val="en-US" w:eastAsia="zh-CN"/>
        </w:rPr>
        <w:t>2025年07月，成立规范编制工作组。根据全国电磁计量技术委员会发布的</w:t>
      </w:r>
      <w:r>
        <w:rPr>
          <w:rFonts w:hint="eastAsia" w:ascii="宋体"/>
          <w:sz w:val="24"/>
          <w:szCs w:val="20"/>
        </w:rPr>
        <w:t>《</w:t>
      </w:r>
      <w:r>
        <w:rPr>
          <w:rFonts w:hint="eastAsia" w:ascii="宋体"/>
          <w:sz w:val="24"/>
          <w:szCs w:val="20"/>
          <w:lang w:val="en-US" w:eastAsia="zh-CN"/>
        </w:rPr>
        <w:t>关于成立</w:t>
      </w:r>
      <w:r>
        <w:rPr>
          <w:rFonts w:hint="eastAsia" w:ascii="宋体" w:hAnsi="宋体" w:eastAsia="宋体" w:cs="宋体"/>
          <w:sz w:val="24"/>
          <w:szCs w:val="20"/>
        </w:rPr>
        <w:t>&lt;</w:t>
      </w:r>
      <w:r>
        <w:rPr>
          <w:rFonts w:hint="eastAsia" w:ascii="宋体"/>
          <w:sz w:val="24"/>
          <w:szCs w:val="20"/>
          <w:lang w:val="en-US" w:eastAsia="zh-CN"/>
        </w:rPr>
        <w:t>直流电桥检定规程</w:t>
      </w:r>
      <w:r>
        <w:rPr>
          <w:rFonts w:hint="eastAsia" w:ascii="宋体" w:hAnsi="宋体" w:eastAsia="宋体" w:cs="宋体"/>
          <w:sz w:val="24"/>
          <w:szCs w:val="20"/>
        </w:rPr>
        <w:t>&gt;</w:t>
      </w:r>
      <w:r>
        <w:rPr>
          <w:rFonts w:hint="eastAsia" w:ascii="宋体"/>
          <w:sz w:val="24"/>
          <w:szCs w:val="20"/>
          <w:lang w:val="en-US" w:eastAsia="zh-CN"/>
        </w:rPr>
        <w:t>等19项国家计量技术规范编制工作组的通知》，正式组件本规范编制工作组，启动规范起草工作。</w:t>
      </w:r>
    </w:p>
    <w:p w14:paraId="21F62B40">
      <w:pPr>
        <w:pStyle w:val="27"/>
        <w:numPr>
          <w:ilvl w:val="0"/>
          <w:numId w:val="2"/>
        </w:numPr>
        <w:spacing w:after="0" w:line="360" w:lineRule="auto"/>
        <w:ind w:firstLineChars="0"/>
        <w:rPr>
          <w:rFonts w:ascii="宋体"/>
          <w:sz w:val="24"/>
          <w:szCs w:val="20"/>
        </w:rPr>
      </w:pPr>
      <w:r>
        <w:rPr>
          <w:rFonts w:ascii="宋体"/>
          <w:sz w:val="24"/>
          <w:szCs w:val="20"/>
        </w:rPr>
        <w:t>202</w:t>
      </w:r>
      <w:r>
        <w:rPr>
          <w:rFonts w:hint="eastAsia" w:ascii="宋体"/>
          <w:sz w:val="24"/>
          <w:szCs w:val="20"/>
          <w:lang w:val="en-US" w:eastAsia="zh-CN"/>
        </w:rPr>
        <w:t>5</w:t>
      </w:r>
      <w:r>
        <w:rPr>
          <w:rFonts w:hint="eastAsia" w:ascii="宋体"/>
          <w:sz w:val="24"/>
          <w:szCs w:val="20"/>
        </w:rPr>
        <w:t>年</w:t>
      </w:r>
      <w:r>
        <w:rPr>
          <w:rFonts w:hint="eastAsia" w:ascii="宋体"/>
          <w:sz w:val="24"/>
          <w:szCs w:val="20"/>
          <w:lang w:val="en-US" w:eastAsia="zh-CN"/>
        </w:rPr>
        <w:t>08</w:t>
      </w:r>
      <w:r>
        <w:rPr>
          <w:rFonts w:hint="eastAsia" w:ascii="宋体"/>
          <w:sz w:val="24"/>
          <w:szCs w:val="20"/>
        </w:rPr>
        <w:t>月，召开起草工作组启动工作会议，在计划申报阶段提交的《初稿》基础上，讨论并确定技术规范框架及主要技术内容</w:t>
      </w:r>
      <w:r>
        <w:rPr>
          <w:rFonts w:hint="eastAsia" w:ascii="宋体"/>
          <w:sz w:val="24"/>
          <w:szCs w:val="20"/>
          <w:lang w:eastAsia="zh-CN"/>
        </w:rPr>
        <w:t>。</w:t>
      </w:r>
      <w:r>
        <w:rPr>
          <w:rFonts w:hint="eastAsia" w:ascii="宋体"/>
          <w:sz w:val="24"/>
          <w:szCs w:val="20"/>
        </w:rPr>
        <w:t>会议详细情况见《起草工作组启动工作会议纪要》。</w:t>
      </w:r>
      <w:bookmarkStart w:id="9" w:name="_Hlk132553444"/>
    </w:p>
    <w:p w14:paraId="35C307AE">
      <w:pPr>
        <w:pStyle w:val="27"/>
        <w:numPr>
          <w:ilvl w:val="0"/>
          <w:numId w:val="2"/>
        </w:numPr>
        <w:spacing w:after="0" w:line="360" w:lineRule="auto"/>
        <w:ind w:firstLineChars="0"/>
        <w:rPr>
          <w:rFonts w:hint="eastAsia" w:ascii="宋体"/>
          <w:sz w:val="24"/>
          <w:szCs w:val="20"/>
        </w:rPr>
      </w:pPr>
      <w:r>
        <w:rPr>
          <w:rFonts w:hint="eastAsia" w:ascii="宋体"/>
          <w:sz w:val="24"/>
          <w:szCs w:val="20"/>
          <w:lang w:val="en-US" w:eastAsia="zh-CN"/>
        </w:rPr>
        <w:t>2025年08月至2026年04月</w:t>
      </w:r>
      <w:r>
        <w:rPr>
          <w:rFonts w:hint="eastAsia" w:ascii="宋体"/>
          <w:sz w:val="24"/>
          <w:szCs w:val="20"/>
        </w:rPr>
        <w:t>起草工作组</w:t>
      </w:r>
      <w:r>
        <w:rPr>
          <w:rFonts w:hint="eastAsia" w:ascii="宋体"/>
          <w:sz w:val="24"/>
          <w:szCs w:val="20"/>
          <w:lang w:val="en-US" w:eastAsia="zh-CN"/>
        </w:rPr>
        <w:t>根据</w:t>
      </w:r>
      <w:r>
        <w:rPr>
          <w:rFonts w:hint="eastAsia" w:ascii="宋体"/>
          <w:sz w:val="24"/>
          <w:szCs w:val="20"/>
        </w:rPr>
        <w:t>启动工作会议纪要</w:t>
      </w:r>
      <w:r>
        <w:rPr>
          <w:rFonts w:hint="eastAsia" w:ascii="宋体"/>
          <w:sz w:val="24"/>
          <w:szCs w:val="20"/>
          <w:lang w:val="en-US" w:eastAsia="zh-CN"/>
        </w:rPr>
        <w:t>的要求，修改完善了规范章节4 概述和章节7校准项目和校准方法的规范内容。</w:t>
      </w:r>
    </w:p>
    <w:p w14:paraId="45057AC0">
      <w:pPr>
        <w:pStyle w:val="27"/>
        <w:numPr>
          <w:ilvl w:val="0"/>
          <w:numId w:val="2"/>
        </w:numPr>
        <w:spacing w:after="0" w:line="360" w:lineRule="auto"/>
        <w:ind w:firstLineChars="0"/>
        <w:rPr>
          <w:rFonts w:hint="eastAsia" w:ascii="宋体"/>
          <w:sz w:val="24"/>
          <w:szCs w:val="20"/>
        </w:rPr>
      </w:pPr>
      <w:r>
        <w:rPr>
          <w:rFonts w:hint="eastAsia" w:ascii="宋体"/>
          <w:sz w:val="24"/>
          <w:szCs w:val="20"/>
          <w:lang w:val="en-US" w:eastAsia="zh-CN"/>
        </w:rPr>
        <w:t>2026年04月</w:t>
      </w:r>
      <w:r>
        <w:rPr>
          <w:rFonts w:hint="eastAsia" w:ascii="宋体"/>
          <w:sz w:val="24"/>
          <w:szCs w:val="20"/>
        </w:rPr>
        <w:t>，起草工作组召开了第二次工作会议，讨论并确定技术规</w:t>
      </w:r>
      <w:r>
        <w:rPr>
          <w:rFonts w:hint="eastAsia" w:ascii="宋体"/>
          <w:sz w:val="24"/>
          <w:szCs w:val="20"/>
          <w:lang w:val="en-US" w:eastAsia="zh-CN"/>
        </w:rPr>
        <w:t>征求意见初稿</w:t>
      </w:r>
      <w:r>
        <w:rPr>
          <w:rFonts w:hint="eastAsia" w:ascii="宋体"/>
          <w:sz w:val="24"/>
          <w:szCs w:val="20"/>
          <w:lang w:eastAsia="zh-CN"/>
        </w:rPr>
        <w:t>。</w:t>
      </w:r>
      <w:r>
        <w:rPr>
          <w:rFonts w:hint="eastAsia" w:ascii="宋体"/>
          <w:sz w:val="24"/>
          <w:szCs w:val="20"/>
        </w:rPr>
        <w:t>会议详细情况见《起草工作组</w:t>
      </w:r>
      <w:r>
        <w:rPr>
          <w:rFonts w:hint="eastAsia" w:ascii="宋体"/>
          <w:sz w:val="24"/>
          <w:szCs w:val="20"/>
          <w:lang w:val="en-US" w:eastAsia="zh-CN"/>
        </w:rPr>
        <w:t>第二次</w:t>
      </w:r>
      <w:r>
        <w:rPr>
          <w:rFonts w:hint="eastAsia" w:ascii="宋体"/>
          <w:sz w:val="24"/>
          <w:szCs w:val="20"/>
        </w:rPr>
        <w:t>工作会议纪要》。</w:t>
      </w:r>
    </w:p>
    <w:p w14:paraId="48015469">
      <w:pPr>
        <w:pStyle w:val="27"/>
        <w:numPr>
          <w:ilvl w:val="0"/>
          <w:numId w:val="2"/>
        </w:numPr>
        <w:spacing w:after="0" w:line="360" w:lineRule="auto"/>
        <w:ind w:firstLineChars="0"/>
        <w:rPr>
          <w:rFonts w:ascii="宋体"/>
          <w:sz w:val="24"/>
          <w:szCs w:val="20"/>
        </w:rPr>
      </w:pPr>
      <w:r>
        <w:rPr>
          <w:rFonts w:hint="eastAsia" w:ascii="宋体"/>
          <w:sz w:val="24"/>
          <w:szCs w:val="20"/>
          <w:lang w:val="en-US" w:eastAsia="zh-CN"/>
        </w:rPr>
        <w:t>2026年04月，</w:t>
      </w:r>
      <w:r>
        <w:rPr>
          <w:rFonts w:hint="eastAsia" w:ascii="宋体"/>
          <w:sz w:val="24"/>
          <w:szCs w:val="20"/>
        </w:rPr>
        <w:t>起草工作组</w:t>
      </w:r>
      <w:r>
        <w:rPr>
          <w:rFonts w:hint="eastAsia" w:ascii="宋体"/>
          <w:sz w:val="24"/>
          <w:szCs w:val="20"/>
          <w:lang w:val="en-US" w:eastAsia="zh-CN"/>
        </w:rPr>
        <w:t>根据第二次工作会议纪要要求，修改完善了规范征求意见初稿、不确定度和编制说明，形成了规范的</w:t>
      </w:r>
      <w:r>
        <w:rPr>
          <w:rFonts w:hint="eastAsia" w:ascii="宋体"/>
          <w:sz w:val="24"/>
          <w:szCs w:val="20"/>
        </w:rPr>
        <w:t>征求意见</w:t>
      </w:r>
      <w:r>
        <w:rPr>
          <w:rFonts w:hint="eastAsia" w:ascii="宋体"/>
          <w:sz w:val="24"/>
          <w:szCs w:val="20"/>
          <w:lang w:val="en-US" w:eastAsia="zh-CN"/>
        </w:rPr>
        <w:t>初稿</w:t>
      </w:r>
      <w:r>
        <w:rPr>
          <w:rFonts w:hint="eastAsia" w:ascii="宋体"/>
          <w:sz w:val="24"/>
          <w:szCs w:val="20"/>
        </w:rPr>
        <w:t>。</w:t>
      </w:r>
    </w:p>
    <w:bookmarkEnd w:id="9"/>
    <w:p w14:paraId="43A16F04">
      <w:pPr>
        <w:spacing w:after="0" w:line="360" w:lineRule="auto"/>
        <w:ind w:left="480"/>
        <w:rPr>
          <w:rFonts w:ascii="宋体"/>
          <w:sz w:val="24"/>
          <w:szCs w:val="20"/>
        </w:rPr>
      </w:pPr>
      <w:r>
        <w:rPr>
          <w:rFonts w:hint="eastAsia" w:ascii="宋体"/>
          <w:sz w:val="24"/>
          <w:szCs w:val="20"/>
          <w:lang w:val="en-US" w:eastAsia="zh-CN"/>
        </w:rPr>
        <w:t>7</w:t>
      </w:r>
      <w:r>
        <w:rPr>
          <w:rFonts w:ascii="宋体"/>
          <w:sz w:val="24"/>
          <w:szCs w:val="20"/>
        </w:rPr>
        <w:t>.</w:t>
      </w:r>
      <w:r>
        <w:rPr>
          <w:rFonts w:hint="eastAsia" w:ascii="宋体"/>
          <w:sz w:val="24"/>
          <w:szCs w:val="20"/>
        </w:rPr>
        <w:t>征求意见</w:t>
      </w:r>
    </w:p>
    <w:p w14:paraId="10B71060">
      <w:pPr>
        <w:spacing w:after="0" w:line="360" w:lineRule="auto"/>
        <w:ind w:firstLine="480" w:firstLineChars="200"/>
        <w:rPr>
          <w:rFonts w:hint="eastAsia" w:ascii="宋体" w:eastAsia="宋体"/>
          <w:color w:val="FF0000"/>
          <w:sz w:val="24"/>
          <w:szCs w:val="20"/>
          <w:lang w:val="en-US" w:eastAsia="zh-CN"/>
        </w:rPr>
      </w:pPr>
      <w:r>
        <w:rPr>
          <w:rFonts w:hint="eastAsia" w:ascii="宋体"/>
          <w:color w:val="FF0000"/>
          <w:sz w:val="24"/>
          <w:szCs w:val="20"/>
          <w:lang w:val="en-US" w:eastAsia="zh-CN"/>
        </w:rPr>
        <w:t>待补充（征求意见后补充）</w:t>
      </w:r>
    </w:p>
    <w:p w14:paraId="2005CBD6">
      <w:pPr>
        <w:spacing w:after="0" w:line="360" w:lineRule="auto"/>
        <w:ind w:firstLine="480" w:firstLineChars="200"/>
        <w:rPr>
          <w:rFonts w:hint="eastAsia" w:ascii="宋体"/>
          <w:sz w:val="24"/>
          <w:szCs w:val="20"/>
        </w:rPr>
      </w:pPr>
    </w:p>
    <w:p w14:paraId="4E73560A">
      <w:pPr>
        <w:spacing w:after="0" w:line="360" w:lineRule="auto"/>
        <w:ind w:firstLine="480" w:firstLineChars="200"/>
        <w:rPr>
          <w:rFonts w:hint="eastAsia" w:ascii="宋体"/>
          <w:sz w:val="24"/>
          <w:szCs w:val="20"/>
        </w:rPr>
      </w:pPr>
    </w:p>
    <w:p w14:paraId="15968EBE">
      <w:pPr>
        <w:spacing w:after="0" w:line="360" w:lineRule="auto"/>
        <w:ind w:firstLine="480" w:firstLineChars="200"/>
        <w:rPr>
          <w:rFonts w:ascii="宋体"/>
          <w:sz w:val="24"/>
          <w:szCs w:val="20"/>
        </w:rPr>
      </w:pPr>
      <w:r>
        <w:rPr>
          <w:rFonts w:hint="eastAsia" w:ascii="宋体"/>
          <w:sz w:val="24"/>
          <w:szCs w:val="20"/>
          <w:lang w:val="en-US" w:eastAsia="zh-CN"/>
        </w:rPr>
        <w:t>8</w:t>
      </w:r>
      <w:r>
        <w:rPr>
          <w:rFonts w:ascii="宋体"/>
          <w:sz w:val="24"/>
          <w:szCs w:val="20"/>
        </w:rPr>
        <w:t>.</w:t>
      </w:r>
      <w:r>
        <w:rPr>
          <w:rFonts w:hint="eastAsia" w:ascii="宋体"/>
          <w:sz w:val="24"/>
          <w:szCs w:val="20"/>
        </w:rPr>
        <w:t>送审稿起草</w:t>
      </w:r>
    </w:p>
    <w:p w14:paraId="7FF9EE6E">
      <w:pPr>
        <w:spacing w:after="0" w:line="360" w:lineRule="auto"/>
        <w:ind w:firstLine="480" w:firstLineChars="200"/>
        <w:rPr>
          <w:rFonts w:hint="eastAsia" w:ascii="宋体" w:eastAsia="宋体"/>
          <w:color w:val="FF0000"/>
          <w:sz w:val="24"/>
          <w:szCs w:val="20"/>
          <w:lang w:val="en-US" w:eastAsia="zh-CN"/>
        </w:rPr>
      </w:pPr>
      <w:r>
        <w:rPr>
          <w:rFonts w:hint="eastAsia" w:ascii="宋体"/>
          <w:color w:val="FF0000"/>
          <w:sz w:val="24"/>
          <w:szCs w:val="20"/>
          <w:lang w:val="en-US" w:eastAsia="zh-CN"/>
        </w:rPr>
        <w:t>待补充（按照相应进度补充）</w:t>
      </w:r>
    </w:p>
    <w:p w14:paraId="186F9215">
      <w:pPr>
        <w:spacing w:after="0" w:line="360" w:lineRule="auto"/>
        <w:ind w:firstLine="480" w:firstLineChars="200"/>
        <w:rPr>
          <w:rFonts w:hint="eastAsia" w:ascii="宋体" w:eastAsia="宋体"/>
          <w:color w:val="FF0000"/>
          <w:sz w:val="24"/>
          <w:szCs w:val="20"/>
          <w:lang w:val="en-US" w:eastAsia="zh-CN"/>
        </w:rPr>
      </w:pPr>
    </w:p>
    <w:p w14:paraId="6E69EECA">
      <w:pPr>
        <w:spacing w:after="0" w:line="360" w:lineRule="auto"/>
        <w:ind w:firstLine="480" w:firstLineChars="200"/>
        <w:rPr>
          <w:rFonts w:hint="eastAsia" w:ascii="宋体"/>
          <w:sz w:val="24"/>
          <w:szCs w:val="20"/>
        </w:rPr>
      </w:pPr>
    </w:p>
    <w:p w14:paraId="32C941D9">
      <w:pPr>
        <w:spacing w:after="0" w:line="360" w:lineRule="auto"/>
        <w:ind w:firstLine="480" w:firstLineChars="200"/>
        <w:rPr>
          <w:rFonts w:hint="eastAsia" w:ascii="宋体"/>
          <w:sz w:val="24"/>
          <w:szCs w:val="20"/>
        </w:rPr>
      </w:pPr>
    </w:p>
    <w:p w14:paraId="66A0E073">
      <w:pPr>
        <w:spacing w:after="0" w:line="360" w:lineRule="auto"/>
        <w:ind w:firstLine="480" w:firstLineChars="200"/>
        <w:rPr>
          <w:rFonts w:hint="eastAsia" w:ascii="宋体"/>
          <w:sz w:val="24"/>
          <w:szCs w:val="20"/>
        </w:rPr>
      </w:pPr>
    </w:p>
    <w:p w14:paraId="206E3454">
      <w:pPr>
        <w:spacing w:after="0" w:line="360" w:lineRule="auto"/>
        <w:ind w:firstLine="480" w:firstLineChars="200"/>
        <w:rPr>
          <w:rFonts w:ascii="宋体"/>
          <w:sz w:val="24"/>
          <w:szCs w:val="20"/>
        </w:rPr>
      </w:pPr>
      <w:r>
        <w:rPr>
          <w:rFonts w:hint="eastAsia" w:ascii="宋体"/>
          <w:sz w:val="24"/>
          <w:szCs w:val="20"/>
          <w:lang w:val="en-US" w:eastAsia="zh-CN"/>
        </w:rPr>
        <w:t>9</w:t>
      </w:r>
      <w:r>
        <w:rPr>
          <w:rFonts w:ascii="宋体"/>
          <w:sz w:val="24"/>
          <w:szCs w:val="20"/>
        </w:rPr>
        <w:t>.</w:t>
      </w:r>
      <w:r>
        <w:rPr>
          <w:rFonts w:hint="eastAsia" w:ascii="宋体"/>
          <w:sz w:val="24"/>
          <w:szCs w:val="20"/>
        </w:rPr>
        <w:t>报批稿</w:t>
      </w:r>
    </w:p>
    <w:p w14:paraId="54F8CD9A">
      <w:pPr>
        <w:spacing w:after="0" w:line="360" w:lineRule="auto"/>
        <w:ind w:firstLine="480" w:firstLineChars="200"/>
        <w:rPr>
          <w:rFonts w:hint="eastAsia" w:ascii="宋体" w:eastAsia="宋体"/>
          <w:color w:val="FF0000"/>
          <w:sz w:val="24"/>
          <w:szCs w:val="20"/>
          <w:lang w:val="en-US" w:eastAsia="zh-CN"/>
        </w:rPr>
      </w:pPr>
      <w:bookmarkStart w:id="10" w:name="_Toc116567852"/>
      <w:bookmarkStart w:id="11" w:name="_Toc116567671"/>
      <w:r>
        <w:rPr>
          <w:rFonts w:hint="eastAsia" w:ascii="宋体"/>
          <w:color w:val="FF0000"/>
          <w:sz w:val="24"/>
          <w:szCs w:val="20"/>
          <w:lang w:val="en-US" w:eastAsia="zh-CN"/>
        </w:rPr>
        <w:t>待补充（按照相应进度补充）</w:t>
      </w:r>
    </w:p>
    <w:p w14:paraId="0390C15A">
      <w:pPr>
        <w:pStyle w:val="11"/>
        <w:spacing w:after="0"/>
        <w:ind w:firstLine="560" w:firstLineChars="200"/>
        <w:jc w:val="left"/>
        <w:rPr>
          <w:sz w:val="28"/>
          <w:szCs w:val="28"/>
        </w:rPr>
      </w:pPr>
      <w:r>
        <w:rPr>
          <w:rFonts w:hint="eastAsia"/>
          <w:sz w:val="28"/>
          <w:szCs w:val="28"/>
        </w:rPr>
        <w:t>二、采纳国际建议情况。</w:t>
      </w:r>
      <w:bookmarkEnd w:id="10"/>
      <w:bookmarkEnd w:id="11"/>
    </w:p>
    <w:p w14:paraId="17A3D4C0">
      <w:pPr>
        <w:spacing w:line="360" w:lineRule="auto"/>
        <w:ind w:firstLine="480" w:firstLineChars="200"/>
        <w:rPr>
          <w:rFonts w:ascii="宋体"/>
          <w:sz w:val="24"/>
          <w:szCs w:val="20"/>
        </w:rPr>
      </w:pPr>
      <w:r>
        <w:rPr>
          <w:rFonts w:hint="eastAsia" w:ascii="宋体"/>
          <w:sz w:val="24"/>
          <w:szCs w:val="20"/>
        </w:rPr>
        <w:t>本技术规范编制过程中没有国际建议采纳的情况。</w:t>
      </w:r>
    </w:p>
    <w:p w14:paraId="2C3F0D8D">
      <w:pPr>
        <w:pStyle w:val="11"/>
        <w:spacing w:before="156" w:beforeLines="50" w:after="0" w:line="500" w:lineRule="exact"/>
        <w:ind w:firstLine="560" w:firstLineChars="200"/>
        <w:jc w:val="left"/>
        <w:rPr>
          <w:sz w:val="28"/>
          <w:szCs w:val="28"/>
        </w:rPr>
      </w:pPr>
      <w:bookmarkStart w:id="12" w:name="_Toc116567672"/>
      <w:bookmarkStart w:id="13" w:name="_Toc116567853"/>
      <w:r>
        <w:rPr>
          <w:rFonts w:hint="eastAsia"/>
          <w:sz w:val="28"/>
          <w:szCs w:val="28"/>
        </w:rPr>
        <w:t>三、国家计量技术规范编制原则、主要内容及其确定依据，如技术指标、参数、公式、性能要求、试验方法、检验规则等）的论据（包括试验、统计数据）。修订国家计量技术规范时，还包括修订前后技术内容的对比。</w:t>
      </w:r>
      <w:bookmarkEnd w:id="12"/>
      <w:bookmarkEnd w:id="13"/>
    </w:p>
    <w:p w14:paraId="000E066C">
      <w:pPr>
        <w:spacing w:after="0" w:line="360" w:lineRule="auto"/>
        <w:ind w:firstLine="480" w:firstLineChars="200"/>
        <w:rPr>
          <w:rFonts w:ascii="宋体" w:hAnsi="宋体"/>
          <w:sz w:val="24"/>
          <w:szCs w:val="20"/>
        </w:rPr>
      </w:pPr>
      <w:r>
        <w:rPr>
          <w:rFonts w:hint="eastAsia" w:ascii="宋体" w:hAnsi="宋体"/>
          <w:sz w:val="24"/>
          <w:szCs w:val="20"/>
        </w:rPr>
        <w:t>（一）编写原则</w:t>
      </w:r>
    </w:p>
    <w:p w14:paraId="1BA52037">
      <w:pPr>
        <w:spacing w:after="0" w:line="360" w:lineRule="auto"/>
        <w:ind w:firstLine="480" w:firstLineChars="200"/>
        <w:rPr>
          <w:rFonts w:ascii="宋体" w:hAnsi="宋体"/>
          <w:sz w:val="24"/>
        </w:rPr>
      </w:pPr>
      <w:r>
        <w:rPr>
          <w:rFonts w:hint="eastAsia" w:ascii="宋体" w:hAnsi="宋体"/>
          <w:sz w:val="24"/>
        </w:rPr>
        <w:t>本技术规范根据</w:t>
      </w:r>
      <w:r>
        <w:rPr>
          <w:rFonts w:ascii="宋体" w:hAnsi="宋体"/>
          <w:sz w:val="24"/>
        </w:rPr>
        <w:t>JJF1071</w:t>
      </w:r>
      <w:r>
        <w:rPr>
          <w:rFonts w:hint="eastAsia" w:ascii="宋体" w:hAnsi="宋体"/>
          <w:sz w:val="24"/>
        </w:rPr>
        <w:t>《国家计量校准规范编写规则》、</w:t>
      </w:r>
      <w:r>
        <w:rPr>
          <w:rFonts w:ascii="宋体" w:hAnsi="宋体"/>
          <w:sz w:val="24"/>
        </w:rPr>
        <w:t>JJF1001</w:t>
      </w:r>
      <w:r>
        <w:rPr>
          <w:rFonts w:hint="eastAsia" w:ascii="宋体" w:hAnsi="宋体"/>
          <w:sz w:val="24"/>
          <w:lang w:eastAsia="zh-CN"/>
        </w:rPr>
        <w:t>—</w:t>
      </w:r>
      <w:r>
        <w:rPr>
          <w:rFonts w:ascii="宋体" w:hAnsi="宋体"/>
          <w:sz w:val="24"/>
        </w:rPr>
        <w:t>2011</w:t>
      </w:r>
      <w:r>
        <w:rPr>
          <w:rFonts w:hint="eastAsia" w:ascii="宋体" w:hAnsi="宋体"/>
          <w:sz w:val="24"/>
        </w:rPr>
        <w:t>《通用计量术语及定义》和</w:t>
      </w:r>
      <w:r>
        <w:rPr>
          <w:rFonts w:ascii="宋体" w:hAnsi="宋体"/>
          <w:sz w:val="24"/>
        </w:rPr>
        <w:t>JJF 1059.1</w:t>
      </w:r>
      <w:r>
        <w:rPr>
          <w:rFonts w:hint="eastAsia" w:ascii="宋体" w:hAnsi="宋体"/>
          <w:sz w:val="24"/>
          <w:lang w:eastAsia="zh-CN"/>
        </w:rPr>
        <w:t>—</w:t>
      </w:r>
      <w:r>
        <w:rPr>
          <w:rFonts w:ascii="宋体" w:hAnsi="宋体"/>
          <w:sz w:val="24"/>
        </w:rPr>
        <w:t>2012</w:t>
      </w:r>
      <w:r>
        <w:rPr>
          <w:rFonts w:hint="eastAsia" w:ascii="宋体" w:hAnsi="宋体"/>
          <w:sz w:val="24"/>
        </w:rPr>
        <w:t>《测量不确定度评定与表示》</w:t>
      </w:r>
      <w:r>
        <w:rPr>
          <w:rFonts w:hint="eastAsia" w:ascii="宋体" w:hAnsi="宋体"/>
          <w:sz w:val="24"/>
          <w:lang w:val="en-US" w:eastAsia="zh-CN"/>
        </w:rPr>
        <w:t>的规定进行</w:t>
      </w:r>
      <w:r>
        <w:rPr>
          <w:rFonts w:hint="eastAsia" w:ascii="宋体" w:hAnsi="宋体"/>
          <w:sz w:val="24"/>
        </w:rPr>
        <w:t>编写。</w:t>
      </w:r>
    </w:p>
    <w:p w14:paraId="07638485">
      <w:pPr>
        <w:spacing w:after="0" w:line="360" w:lineRule="auto"/>
        <w:ind w:firstLine="480" w:firstLineChars="200"/>
        <w:rPr>
          <w:rFonts w:ascii="宋体" w:hAnsi="宋体"/>
          <w:sz w:val="24"/>
          <w:szCs w:val="20"/>
        </w:rPr>
      </w:pPr>
      <w:r>
        <w:rPr>
          <w:rFonts w:hint="eastAsia" w:ascii="宋体" w:hAnsi="宋体"/>
          <w:sz w:val="24"/>
          <w:szCs w:val="20"/>
        </w:rPr>
        <w:t>（二）主要内容及其确定依据</w:t>
      </w:r>
    </w:p>
    <w:p w14:paraId="62E7C36A">
      <w:pPr>
        <w:keepNext w:val="0"/>
        <w:keepLines w:val="0"/>
        <w:pageBreakBefore w:val="0"/>
        <w:widowControl w:val="0"/>
        <w:kinsoku/>
        <w:wordWrap/>
        <w:overflowPunct/>
        <w:topLinePunct w:val="0"/>
        <w:autoSpaceDE/>
        <w:autoSpaceDN/>
        <w:bidi w:val="0"/>
        <w:adjustRightInd/>
        <w:snapToGrid/>
        <w:spacing w:after="0" w:line="360" w:lineRule="auto"/>
        <w:ind w:left="480"/>
        <w:textAlignment w:val="auto"/>
        <w:rPr>
          <w:rFonts w:hint="eastAsia" w:ascii="宋体" w:hAnsi="宋体"/>
          <w:sz w:val="24"/>
        </w:rPr>
      </w:pPr>
      <w:r>
        <w:rPr>
          <w:rFonts w:hint="eastAsia" w:ascii="宋体" w:hAnsi="宋体"/>
          <w:sz w:val="24"/>
          <w:lang w:val="en-US" w:eastAsia="zh-CN"/>
        </w:rPr>
        <w:t>本技术规范</w:t>
      </w:r>
      <w:r>
        <w:rPr>
          <w:rFonts w:hint="eastAsia" w:ascii="宋体" w:hAnsi="宋体"/>
          <w:sz w:val="24"/>
        </w:rPr>
        <w:t>根据</w:t>
      </w:r>
      <w:r>
        <w:rPr>
          <w:rFonts w:hint="eastAsia" w:ascii="宋体" w:hAnsi="宋体"/>
          <w:sz w:val="24"/>
          <w:lang w:val="en-US" w:eastAsia="zh-CN"/>
        </w:rPr>
        <w:t>直流电流比例标准装置的</w:t>
      </w:r>
      <w:r>
        <w:rPr>
          <w:rFonts w:hint="eastAsia" w:ascii="宋体" w:hAnsi="宋体"/>
          <w:sz w:val="24"/>
        </w:rPr>
        <w:t>应用情况、运行场景</w:t>
      </w:r>
      <w:r>
        <w:rPr>
          <w:rFonts w:hint="eastAsia" w:ascii="宋体" w:hAnsi="宋体"/>
          <w:sz w:val="24"/>
          <w:lang w:val="en-US" w:eastAsia="zh-CN"/>
        </w:rPr>
        <w:t>及其自身</w:t>
      </w:r>
      <w:r>
        <w:rPr>
          <w:rFonts w:hint="eastAsia" w:ascii="宋体" w:hAnsi="宋体"/>
          <w:sz w:val="24"/>
        </w:rPr>
        <w:t>性能</w:t>
      </w:r>
    </w:p>
    <w:p w14:paraId="605E2EF7">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宋体" w:hAnsi="宋体"/>
          <w:sz w:val="24"/>
        </w:rPr>
      </w:pPr>
      <w:r>
        <w:rPr>
          <w:rFonts w:hint="eastAsia" w:ascii="宋体" w:hAnsi="宋体"/>
          <w:sz w:val="24"/>
          <w:lang w:val="en-US" w:eastAsia="zh-CN"/>
        </w:rPr>
        <w:t>和结构特点</w:t>
      </w:r>
      <w:r>
        <w:rPr>
          <w:rFonts w:hint="eastAsia" w:ascii="宋体" w:hAnsi="宋体"/>
          <w:sz w:val="24"/>
        </w:rPr>
        <w:t>，结合国内相关标准和行业专家的意见</w:t>
      </w:r>
      <w:r>
        <w:rPr>
          <w:rFonts w:hint="eastAsia" w:ascii="宋体" w:hAnsi="宋体"/>
          <w:sz w:val="24"/>
          <w:lang w:val="en-US" w:eastAsia="zh-CN"/>
        </w:rPr>
        <w:t>与</w:t>
      </w:r>
      <w:r>
        <w:rPr>
          <w:rFonts w:hint="eastAsia" w:ascii="宋体" w:hAnsi="宋体"/>
          <w:sz w:val="24"/>
        </w:rPr>
        <w:t>建议</w:t>
      </w:r>
      <w:r>
        <w:rPr>
          <w:rFonts w:hint="eastAsia" w:ascii="宋体" w:hAnsi="宋体"/>
          <w:sz w:val="24"/>
          <w:lang w:val="en-US" w:eastAsia="zh-CN"/>
        </w:rPr>
        <w:t>进行制定</w:t>
      </w:r>
      <w:r>
        <w:rPr>
          <w:rFonts w:hint="eastAsia" w:ascii="宋体" w:hAnsi="宋体"/>
          <w:sz w:val="24"/>
        </w:rPr>
        <w:t>。以现有的生产技术和应用场景为前提，本着促进技术</w:t>
      </w:r>
      <w:r>
        <w:rPr>
          <w:rFonts w:hint="eastAsia" w:ascii="宋体" w:hAnsi="宋体"/>
          <w:sz w:val="24"/>
          <w:lang w:val="en-US" w:eastAsia="zh-CN"/>
        </w:rPr>
        <w:t>进步</w:t>
      </w:r>
      <w:r>
        <w:rPr>
          <w:rFonts w:hint="eastAsia" w:ascii="宋体" w:hAnsi="宋体"/>
          <w:sz w:val="24"/>
        </w:rPr>
        <w:t>，鼓励</w:t>
      </w:r>
      <w:r>
        <w:rPr>
          <w:rFonts w:hint="eastAsia" w:ascii="宋体" w:hAnsi="宋体"/>
          <w:sz w:val="24"/>
          <w:lang w:val="en-US" w:eastAsia="zh-CN"/>
        </w:rPr>
        <w:t>创新、</w:t>
      </w:r>
      <w:r>
        <w:rPr>
          <w:rFonts w:hint="eastAsia" w:ascii="宋体" w:hAnsi="宋体"/>
          <w:sz w:val="24"/>
        </w:rPr>
        <w:t>与国际接轨、提高</w:t>
      </w:r>
      <w:r>
        <w:rPr>
          <w:rFonts w:hint="eastAsia" w:ascii="宋体" w:hAnsi="宋体"/>
          <w:sz w:val="24"/>
          <w:lang w:val="en-US" w:eastAsia="zh-CN"/>
        </w:rPr>
        <w:t>并</w:t>
      </w:r>
      <w:r>
        <w:rPr>
          <w:rFonts w:hint="eastAsia" w:ascii="宋体" w:hAnsi="宋体"/>
          <w:sz w:val="24"/>
        </w:rPr>
        <w:t>完善</w:t>
      </w:r>
      <w:r>
        <w:rPr>
          <w:rFonts w:hint="eastAsia" w:ascii="宋体" w:hAnsi="宋体"/>
          <w:sz w:val="24"/>
          <w:lang w:val="en-US" w:eastAsia="zh-CN"/>
        </w:rPr>
        <w:t>直流电流比例标准自校准</w:t>
      </w:r>
      <w:r>
        <w:rPr>
          <w:rFonts w:hint="eastAsia" w:ascii="宋体" w:hAnsi="宋体"/>
          <w:sz w:val="24"/>
        </w:rPr>
        <w:t>量传水平的</w:t>
      </w:r>
      <w:r>
        <w:rPr>
          <w:rFonts w:hint="eastAsia" w:ascii="宋体" w:hAnsi="宋体"/>
          <w:sz w:val="24"/>
          <w:lang w:val="en-US" w:eastAsia="zh-CN"/>
        </w:rPr>
        <w:t>宗旨，</w:t>
      </w:r>
      <w:r>
        <w:rPr>
          <w:rFonts w:hint="eastAsia" w:ascii="宋体" w:hAnsi="宋体"/>
          <w:sz w:val="24"/>
        </w:rPr>
        <w:t>重点考虑校准规范的实用性和可操作性，</w:t>
      </w:r>
      <w:r>
        <w:rPr>
          <w:rFonts w:hint="eastAsia" w:ascii="宋体" w:hAnsi="宋体"/>
          <w:sz w:val="24"/>
          <w:lang w:val="en-US" w:eastAsia="zh-CN"/>
        </w:rPr>
        <w:t>同时兼顾直流电流比例标准</w:t>
      </w:r>
      <w:r>
        <w:rPr>
          <w:rFonts w:hint="eastAsia" w:ascii="宋体" w:hAnsi="宋体"/>
          <w:sz w:val="24"/>
        </w:rPr>
        <w:t>的预期用途，统一规范校准方法。</w:t>
      </w:r>
    </w:p>
    <w:p w14:paraId="6274D218">
      <w:pPr>
        <w:pStyle w:val="11"/>
        <w:numPr>
          <w:ilvl w:val="0"/>
          <w:numId w:val="3"/>
        </w:numPr>
        <w:spacing w:before="156" w:beforeLines="50" w:after="0" w:line="500" w:lineRule="exact"/>
        <w:ind w:firstLine="560" w:firstLineChars="200"/>
        <w:jc w:val="left"/>
        <w:rPr>
          <w:rFonts w:hint="eastAsia"/>
          <w:sz w:val="28"/>
          <w:szCs w:val="28"/>
        </w:rPr>
      </w:pPr>
      <w:bookmarkStart w:id="14" w:name="_Toc116567854"/>
      <w:bookmarkStart w:id="15" w:name="_Toc116567673"/>
      <w:r>
        <w:rPr>
          <w:rFonts w:hint="eastAsia"/>
          <w:sz w:val="28"/>
          <w:szCs w:val="28"/>
        </w:rPr>
        <w:t>试验验证的分析、综述报告，技术经济论证，预期的经济效益、社会效益和生态效益。验证分析包括试验验证条件、验证过程、验证结果，并说明验证结果是否达到预期效果。</w:t>
      </w:r>
      <w:bookmarkEnd w:id="14"/>
      <w:bookmarkEnd w:id="15"/>
    </w:p>
    <w:p w14:paraId="7453327E">
      <w:pPr>
        <w:spacing w:after="0" w:line="360" w:lineRule="auto"/>
        <w:ind w:firstLine="480" w:firstLineChars="200"/>
        <w:rPr>
          <w:rFonts w:ascii="宋体" w:hAnsi="宋体"/>
          <w:sz w:val="24"/>
        </w:rPr>
      </w:pPr>
      <w:r>
        <w:rPr>
          <w:rFonts w:hint="eastAsia" w:ascii="宋体" w:hAnsi="宋体"/>
          <w:sz w:val="24"/>
        </w:rPr>
        <w:t>（一）试验验证的分析、综述报告</w:t>
      </w:r>
    </w:p>
    <w:p w14:paraId="053CCF0D">
      <w:pPr>
        <w:spacing w:after="0" w:line="360" w:lineRule="auto"/>
        <w:ind w:firstLine="480" w:firstLineChars="200"/>
        <w:rPr>
          <w:rFonts w:ascii="宋体" w:hAnsi="宋体"/>
          <w:sz w:val="24"/>
        </w:rPr>
      </w:pPr>
      <w:r>
        <w:rPr>
          <w:rFonts w:hint="eastAsia" w:ascii="宋体" w:hAnsi="宋体"/>
          <w:sz w:val="24"/>
        </w:rPr>
        <w:t>起草工作组在编写</w:t>
      </w:r>
      <w:r>
        <w:rPr>
          <w:rFonts w:hint="eastAsia" w:ascii="宋体" w:hAnsi="宋体"/>
          <w:sz w:val="24"/>
          <w:lang w:val="en-US" w:eastAsia="zh-CN"/>
        </w:rPr>
        <w:t>本</w:t>
      </w:r>
      <w:r>
        <w:rPr>
          <w:rFonts w:hint="eastAsia" w:ascii="宋体" w:hAnsi="宋体"/>
          <w:sz w:val="24"/>
        </w:rPr>
        <w:t>技术规范过程中，</w:t>
      </w:r>
      <w:r>
        <w:rPr>
          <w:rFonts w:hint="eastAsia" w:ascii="宋体" w:hAnsi="宋体"/>
          <w:sz w:val="24"/>
          <w:lang w:val="en-US" w:eastAsia="zh-CN"/>
        </w:rPr>
        <w:t>针</w:t>
      </w:r>
      <w:r>
        <w:rPr>
          <w:rFonts w:hint="eastAsia" w:ascii="宋体" w:hAnsi="宋体"/>
          <w:sz w:val="24"/>
        </w:rPr>
        <w:t>对本技术规范的校准项目、校准线路、关键参数、校准周期等主要典型条款</w:t>
      </w:r>
      <w:r>
        <w:rPr>
          <w:rFonts w:hint="eastAsia" w:ascii="宋体" w:hAnsi="宋体"/>
          <w:sz w:val="24"/>
          <w:lang w:val="en-US" w:eastAsia="zh-CN"/>
        </w:rPr>
        <w:t>与</w:t>
      </w:r>
      <w:r>
        <w:rPr>
          <w:rFonts w:hint="eastAsia" w:ascii="宋体" w:hAnsi="宋体"/>
          <w:sz w:val="24"/>
        </w:rPr>
        <w:t>项目进行了验证试验。</w:t>
      </w:r>
    </w:p>
    <w:p w14:paraId="7502723C">
      <w:pPr>
        <w:spacing w:after="0" w:line="360" w:lineRule="auto"/>
        <w:ind w:firstLine="480" w:firstLineChars="200"/>
        <w:rPr>
          <w:rFonts w:ascii="宋体" w:hAnsi="宋体"/>
          <w:sz w:val="24"/>
        </w:rPr>
      </w:pPr>
      <w:r>
        <w:rPr>
          <w:rFonts w:hint="eastAsia" w:ascii="宋体" w:hAnsi="宋体"/>
          <w:sz w:val="24"/>
          <w:lang w:val="en-US" w:eastAsia="zh-CN"/>
        </w:rPr>
        <w:t>1</w:t>
      </w:r>
      <w:r>
        <w:rPr>
          <w:rFonts w:hint="eastAsia" w:ascii="宋体" w:hAnsi="宋体"/>
          <w:sz w:val="24"/>
        </w:rPr>
        <w:t xml:space="preserve">. </w:t>
      </w:r>
      <w:r>
        <w:rPr>
          <w:rFonts w:hint="eastAsia" w:ascii="宋体" w:hAnsi="宋体"/>
          <w:sz w:val="24"/>
          <w:lang w:val="en-US" w:eastAsia="zh-CN"/>
        </w:rPr>
        <w:t>直流电流比例标准自</w:t>
      </w:r>
      <w:r>
        <w:rPr>
          <w:rFonts w:hint="eastAsia" w:ascii="宋体" w:hAnsi="宋体"/>
          <w:sz w:val="24"/>
        </w:rPr>
        <w:t>校准周期试验验证</w:t>
      </w:r>
    </w:p>
    <w:p w14:paraId="0BD5E4FB">
      <w:pPr>
        <w:spacing w:after="0" w:line="360" w:lineRule="auto"/>
        <w:ind w:firstLine="480" w:firstLineChars="200"/>
        <w:rPr>
          <w:rFonts w:ascii="宋体" w:hAnsi="宋体"/>
          <w:sz w:val="24"/>
        </w:rPr>
      </w:pPr>
      <w:r>
        <w:rPr>
          <w:rFonts w:hint="eastAsia" w:ascii="宋体" w:hAnsi="宋体"/>
          <w:sz w:val="24"/>
        </w:rPr>
        <w:t>选取</w:t>
      </w:r>
      <w:r>
        <w:rPr>
          <w:rFonts w:hint="eastAsia" w:ascii="宋体" w:hAnsi="宋体"/>
          <w:sz w:val="24"/>
          <w:lang w:val="en-US" w:eastAsia="zh-CN"/>
        </w:rPr>
        <w:t>三</w:t>
      </w:r>
      <w:r>
        <w:rPr>
          <w:rFonts w:hint="eastAsia" w:ascii="宋体" w:hAnsi="宋体"/>
          <w:sz w:val="24"/>
        </w:rPr>
        <w:t>台</w:t>
      </w:r>
      <w:r>
        <w:rPr>
          <w:rFonts w:hint="eastAsia" w:ascii="宋体" w:hAnsi="宋体"/>
          <w:sz w:val="24"/>
          <w:lang w:val="en-US" w:eastAsia="zh-CN"/>
        </w:rPr>
        <w:t>直流电流比例标准</w:t>
      </w:r>
      <w:r>
        <w:rPr>
          <w:rFonts w:hint="eastAsia" w:ascii="宋体" w:hAnsi="宋体"/>
          <w:sz w:val="24"/>
        </w:rPr>
        <w:t>，</w:t>
      </w:r>
      <w:r>
        <w:rPr>
          <w:rFonts w:hint="eastAsia" w:ascii="宋体" w:hAnsi="宋体"/>
          <w:sz w:val="24"/>
          <w:lang w:val="en-US" w:eastAsia="zh-CN"/>
        </w:rPr>
        <w:t>通过串并联自校准方法得出间隔1年直流电流比例标准比例变差值</w:t>
      </w:r>
      <w:r>
        <w:rPr>
          <w:rFonts w:hint="eastAsia" w:ascii="宋体" w:hAnsi="宋体"/>
          <w:sz w:val="24"/>
        </w:rPr>
        <w:t>。参照本规范的直流电流比例标准串并联自校准方法得出被校准的直流电流比例标准比例值，</w:t>
      </w:r>
      <w:r>
        <w:rPr>
          <w:rFonts w:hAnsi="宋体"/>
          <w:sz w:val="24"/>
        </w:rPr>
        <w:t>自校准包括两种测量线路：</w:t>
      </w:r>
      <w:r>
        <w:rPr>
          <w:sz w:val="24"/>
        </w:rPr>
        <w:t>1:1</w:t>
      </w:r>
      <w:r>
        <w:rPr>
          <w:rFonts w:hAnsi="宋体"/>
          <w:sz w:val="24"/>
        </w:rPr>
        <w:t>自校准和</w:t>
      </w:r>
      <w:r>
        <w:rPr>
          <w:i/>
          <w:sz w:val="24"/>
        </w:rPr>
        <w:t>n</w:t>
      </w:r>
      <w:r>
        <w:rPr>
          <w:sz w:val="24"/>
        </w:rPr>
        <w:t>:1</w:t>
      </w:r>
      <w:r>
        <w:rPr>
          <w:rFonts w:hAnsi="宋体"/>
          <w:sz w:val="24"/>
        </w:rPr>
        <w:t>同标称值比例比较</w:t>
      </w:r>
      <w:r>
        <w:rPr>
          <w:rFonts w:hint="eastAsia" w:hAnsi="宋体"/>
          <w:sz w:val="24"/>
          <w:lang w:eastAsia="zh-CN"/>
        </w:rPr>
        <w:t>。</w:t>
      </w:r>
      <w:r>
        <w:rPr>
          <w:rFonts w:hint="eastAsia"/>
          <w:sz w:val="24"/>
          <w:vertAlign w:val="baseline"/>
          <w:lang w:val="en-US" w:eastAsia="zh-CN"/>
        </w:rPr>
        <w:t>直流电流比例标准比例值变化小于自校准不确定度和准确度的1/3，属于</w:t>
      </w:r>
      <w:r>
        <w:rPr>
          <w:rFonts w:hint="eastAsia" w:ascii="宋体" w:hAnsi="宋体"/>
          <w:sz w:val="24"/>
          <w:lang w:val="en-US" w:eastAsia="zh-CN"/>
        </w:rPr>
        <w:t>我国最高标准，而且</w:t>
      </w:r>
      <w:r>
        <w:rPr>
          <w:rFonts w:hint="eastAsia" w:ascii="宋体" w:hAnsi="宋体"/>
          <w:sz w:val="24"/>
        </w:rPr>
        <w:t>使用频繁，因此</w:t>
      </w:r>
      <w:r>
        <w:rPr>
          <w:rFonts w:hint="eastAsia" w:ascii="宋体" w:hAnsi="宋体"/>
          <w:sz w:val="24"/>
          <w:lang w:eastAsia="zh-CN"/>
        </w:rPr>
        <w:t>，</w:t>
      </w:r>
      <w:r>
        <w:rPr>
          <w:rFonts w:hint="eastAsia" w:ascii="宋体" w:hAnsi="宋体"/>
          <w:sz w:val="24"/>
        </w:rPr>
        <w:t>建议</w:t>
      </w:r>
      <w:r>
        <w:rPr>
          <w:rFonts w:hint="eastAsia" w:ascii="宋体" w:hAnsi="宋体"/>
          <w:sz w:val="24"/>
          <w:lang w:val="en-US" w:eastAsia="zh-CN"/>
        </w:rPr>
        <w:t>直流电流比例标准自</w:t>
      </w:r>
      <w:r>
        <w:rPr>
          <w:rFonts w:hint="eastAsia" w:ascii="宋体" w:hAnsi="宋体"/>
          <w:sz w:val="24"/>
        </w:rPr>
        <w:t>准周期为</w:t>
      </w:r>
      <w:r>
        <w:rPr>
          <w:rFonts w:hint="eastAsia" w:ascii="宋体" w:hAnsi="宋体"/>
          <w:sz w:val="24"/>
          <w:lang w:val="en-US" w:eastAsia="zh-CN"/>
        </w:rPr>
        <w:t>1</w:t>
      </w:r>
      <w:r>
        <w:rPr>
          <w:rFonts w:hint="eastAsia" w:ascii="宋体" w:hAnsi="宋体"/>
          <w:sz w:val="24"/>
        </w:rPr>
        <w:t>年。</w:t>
      </w:r>
    </w:p>
    <w:p w14:paraId="4C16E74F">
      <w:pPr>
        <w:spacing w:after="0" w:line="360" w:lineRule="auto"/>
        <w:ind w:firstLine="480" w:firstLineChars="200"/>
        <w:rPr>
          <w:rFonts w:ascii="宋体" w:hAnsi="宋体"/>
          <w:sz w:val="24"/>
        </w:rPr>
      </w:pPr>
      <w:r>
        <w:rPr>
          <w:rFonts w:hint="eastAsia" w:ascii="宋体" w:hAnsi="宋体"/>
          <w:sz w:val="24"/>
          <w:lang w:val="en-US" w:eastAsia="zh-CN"/>
        </w:rPr>
        <w:t>2. 直流电流比例标准串并联线路</w:t>
      </w:r>
      <w:r>
        <w:rPr>
          <w:rFonts w:hint="eastAsia" w:ascii="宋体" w:hAnsi="宋体"/>
          <w:sz w:val="24"/>
        </w:rPr>
        <w:t>试验验证</w:t>
      </w:r>
    </w:p>
    <w:p w14:paraId="401D0B31">
      <w:pPr>
        <w:spacing w:after="0" w:line="360" w:lineRule="auto"/>
        <w:ind w:firstLine="480" w:firstLineChars="200"/>
        <w:rPr>
          <w:rFonts w:hint="eastAsia" w:ascii="宋体" w:hAnsi="宋体"/>
          <w:sz w:val="24"/>
        </w:rPr>
      </w:pPr>
      <w:r>
        <w:rPr>
          <w:rFonts w:hint="eastAsia" w:ascii="宋体" w:hAnsi="宋体"/>
          <w:sz w:val="24"/>
        </w:rPr>
        <w:t>选取</w:t>
      </w:r>
      <w:r>
        <w:rPr>
          <w:rFonts w:hint="eastAsia" w:ascii="宋体" w:hAnsi="宋体"/>
          <w:sz w:val="24"/>
          <w:lang w:val="en-US" w:eastAsia="zh-CN"/>
        </w:rPr>
        <w:t>三</w:t>
      </w:r>
      <w:r>
        <w:rPr>
          <w:rFonts w:hint="eastAsia" w:ascii="宋体" w:hAnsi="宋体"/>
          <w:sz w:val="24"/>
        </w:rPr>
        <w:t>台</w:t>
      </w:r>
      <w:r>
        <w:rPr>
          <w:rFonts w:hint="eastAsia" w:ascii="宋体" w:hAnsi="宋体"/>
          <w:sz w:val="24"/>
          <w:lang w:val="en-US" w:eastAsia="zh-CN"/>
        </w:rPr>
        <w:t>直流电流比例标准</w:t>
      </w:r>
      <w:r>
        <w:rPr>
          <w:rFonts w:hint="eastAsia" w:ascii="宋体" w:hAnsi="宋体"/>
          <w:sz w:val="24"/>
        </w:rPr>
        <w:t>，参照本规范</w:t>
      </w:r>
      <w:r>
        <w:rPr>
          <w:rFonts w:hint="eastAsia" w:ascii="宋体" w:hAnsi="宋体"/>
          <w:sz w:val="24"/>
          <w:lang w:val="en-US" w:eastAsia="zh-CN"/>
        </w:rPr>
        <w:t>通过串并联方法自校准方法复现直流电流比例标准比例值</w:t>
      </w:r>
      <w:r>
        <w:rPr>
          <w:rFonts w:hint="eastAsia" w:ascii="宋体" w:hAnsi="宋体"/>
          <w:sz w:val="24"/>
        </w:rPr>
        <w:t>。</w:t>
      </w:r>
    </w:p>
    <w:p w14:paraId="43BD39F2">
      <w:pPr>
        <w:spacing w:after="0" w:line="360" w:lineRule="auto"/>
        <w:ind w:firstLine="480" w:firstLineChars="200"/>
        <w:rPr>
          <w:rFonts w:ascii="宋体" w:hAnsi="宋体"/>
          <w:sz w:val="24"/>
        </w:rPr>
      </w:pPr>
      <w:r>
        <w:rPr>
          <w:rFonts w:hint="default" w:ascii="宋体" w:hAnsi="宋体"/>
          <w:sz w:val="24"/>
          <w:lang w:val="en-US" w:eastAsia="zh-CN"/>
        </w:rPr>
        <w:t>3</w:t>
      </w:r>
      <w:r>
        <w:rPr>
          <w:rFonts w:hint="eastAsia" w:ascii="宋体" w:hAnsi="宋体"/>
          <w:sz w:val="24"/>
          <w:lang w:val="en-US" w:eastAsia="zh-CN"/>
        </w:rPr>
        <w:t>. 直流电流比例标准自</w:t>
      </w:r>
      <w:r>
        <w:rPr>
          <w:rFonts w:hint="eastAsia" w:ascii="宋体" w:hAnsi="宋体"/>
          <w:sz w:val="24"/>
        </w:rPr>
        <w:t>校准</w:t>
      </w:r>
      <w:r>
        <w:rPr>
          <w:rFonts w:hint="eastAsia" w:ascii="宋体" w:hAnsi="宋体"/>
          <w:sz w:val="24"/>
          <w:lang w:val="en-US" w:eastAsia="zh-CN"/>
        </w:rPr>
        <w:t>环境条件的</w:t>
      </w:r>
      <w:r>
        <w:rPr>
          <w:rFonts w:hint="eastAsia" w:ascii="宋体" w:hAnsi="宋体"/>
          <w:sz w:val="24"/>
        </w:rPr>
        <w:t>试验验证</w:t>
      </w:r>
    </w:p>
    <w:p w14:paraId="0CB654AF">
      <w:pPr>
        <w:spacing w:after="0" w:line="360" w:lineRule="auto"/>
        <w:ind w:firstLine="480" w:firstLineChars="200"/>
        <w:rPr>
          <w:rFonts w:ascii="宋体" w:hAnsi="宋体"/>
          <w:sz w:val="24"/>
        </w:rPr>
      </w:pPr>
      <w:r>
        <w:rPr>
          <w:rFonts w:hint="eastAsia" w:ascii="宋体" w:hAnsi="宋体"/>
          <w:sz w:val="24"/>
        </w:rPr>
        <w:t>选取</w:t>
      </w:r>
      <w:r>
        <w:rPr>
          <w:rFonts w:hint="eastAsia" w:ascii="宋体" w:hAnsi="宋体"/>
          <w:sz w:val="24"/>
          <w:lang w:val="en-US" w:eastAsia="zh-CN"/>
        </w:rPr>
        <w:t>一</w:t>
      </w:r>
      <w:r>
        <w:rPr>
          <w:rFonts w:hint="eastAsia" w:ascii="宋体" w:hAnsi="宋体"/>
          <w:sz w:val="24"/>
        </w:rPr>
        <w:t>台</w:t>
      </w:r>
      <w:r>
        <w:rPr>
          <w:rFonts w:hint="eastAsia" w:ascii="宋体" w:hAnsi="宋体"/>
          <w:sz w:val="24"/>
          <w:lang w:val="en-US" w:eastAsia="zh-CN"/>
        </w:rPr>
        <w:t>直流电流比例标准</w:t>
      </w:r>
      <w:r>
        <w:rPr>
          <w:rFonts w:hint="eastAsia" w:ascii="宋体" w:hAnsi="宋体"/>
          <w:sz w:val="24"/>
        </w:rPr>
        <w:t>，</w:t>
      </w:r>
      <w:r>
        <w:rPr>
          <w:rFonts w:hint="eastAsia" w:ascii="宋体" w:hAnsi="宋体"/>
          <w:sz w:val="24"/>
          <w:lang w:val="en-US" w:eastAsia="zh-CN"/>
        </w:rPr>
        <w:t xml:space="preserve">通过改变自校准的环境条件，通过串并联自校准方法得出环境条件在从15 </w:t>
      </w:r>
      <w:r>
        <w:rPr>
          <w:rFonts w:hint="eastAsia" w:ascii="宋体" w:hAnsi="宋体" w:eastAsia="宋体" w:cs="宋体"/>
          <w:sz w:val="24"/>
          <w:lang w:val="en-US" w:eastAsia="zh-CN"/>
        </w:rPr>
        <w:t>℃</w:t>
      </w:r>
      <w:r>
        <w:rPr>
          <w:rFonts w:hint="default" w:ascii="Times New Roman" w:hAnsi="Times New Roman" w:cs="Times New Roman"/>
          <w:sz w:val="24"/>
          <w:lang w:val="en-US" w:eastAsia="zh-CN"/>
        </w:rPr>
        <w:t>~</w:t>
      </w:r>
      <w:r>
        <w:rPr>
          <w:rFonts w:hint="eastAsia" w:ascii="宋体" w:hAnsi="宋体" w:cs="宋体"/>
          <w:sz w:val="24"/>
          <w:lang w:val="en-US" w:eastAsia="zh-CN"/>
        </w:rPr>
        <w:t xml:space="preserve">25 </w:t>
      </w:r>
      <w:r>
        <w:rPr>
          <w:rFonts w:hint="eastAsia" w:ascii="宋体" w:hAnsi="宋体" w:eastAsia="宋体" w:cs="宋体"/>
          <w:sz w:val="24"/>
          <w:lang w:val="en-US" w:eastAsia="zh-CN"/>
        </w:rPr>
        <w:t>℃</w:t>
      </w:r>
      <w:r>
        <w:rPr>
          <w:rFonts w:hint="eastAsia" w:ascii="宋体" w:hAnsi="宋体" w:cs="宋体"/>
          <w:sz w:val="24"/>
          <w:lang w:val="en-US" w:eastAsia="zh-CN"/>
        </w:rPr>
        <w:t>，</w:t>
      </w:r>
      <w:r>
        <w:rPr>
          <w:rFonts w:hint="eastAsia" w:ascii="宋体" w:hAnsi="宋体"/>
          <w:sz w:val="24"/>
          <w:lang w:val="en-US" w:eastAsia="zh-CN"/>
        </w:rPr>
        <w:t>不同的温度条件下的直流电流比例标准的比例值</w:t>
      </w:r>
      <w:r>
        <w:rPr>
          <w:rFonts w:hint="eastAsia" w:ascii="宋体" w:hAnsi="宋体"/>
          <w:sz w:val="24"/>
        </w:rPr>
        <w:t>。</w:t>
      </w:r>
      <w:r>
        <w:rPr>
          <w:rFonts w:hint="eastAsia"/>
          <w:sz w:val="24"/>
          <w:vertAlign w:val="baseline"/>
          <w:lang w:val="en-US" w:eastAsia="zh-CN"/>
        </w:rPr>
        <w:t>验证了本规范的环境条件的合理性</w:t>
      </w:r>
      <w:r>
        <w:rPr>
          <w:rFonts w:hint="eastAsia" w:ascii="宋体" w:hAnsi="宋体"/>
          <w:sz w:val="24"/>
        </w:rPr>
        <w:t>。</w:t>
      </w:r>
    </w:p>
    <w:p w14:paraId="2333A1F4">
      <w:pPr>
        <w:numPr>
          <w:ilvl w:val="0"/>
          <w:numId w:val="4"/>
        </w:numPr>
        <w:spacing w:after="0" w:line="360" w:lineRule="auto"/>
        <w:ind w:firstLine="480" w:firstLineChars="200"/>
        <w:rPr>
          <w:rFonts w:hint="eastAsia" w:ascii="宋体" w:hAnsi="宋体"/>
          <w:sz w:val="24"/>
        </w:rPr>
      </w:pPr>
      <w:bookmarkStart w:id="16" w:name="_Toc116567855"/>
      <w:bookmarkStart w:id="17" w:name="_Toc116567674"/>
      <w:r>
        <w:rPr>
          <w:rFonts w:hint="eastAsia" w:ascii="宋体" w:hAnsi="宋体"/>
          <w:sz w:val="24"/>
        </w:rPr>
        <w:t>技术经济论证，预期的经济效益、社会效益和生态效益</w:t>
      </w:r>
    </w:p>
    <w:p w14:paraId="1A36D635">
      <w:pPr>
        <w:numPr>
          <w:ilvl w:val="0"/>
          <w:numId w:val="0"/>
        </w:numPr>
        <w:spacing w:after="0" w:line="360" w:lineRule="auto"/>
        <w:ind w:firstLine="480" w:firstLineChars="200"/>
        <w:rPr>
          <w:rFonts w:hint="eastAsia" w:ascii="宋体" w:hAnsi="宋体"/>
          <w:sz w:val="24"/>
        </w:rPr>
      </w:pPr>
      <w:r>
        <w:rPr>
          <w:rFonts w:hint="eastAsia" w:ascii="宋体" w:hAnsi="宋体"/>
          <w:sz w:val="24"/>
          <w:lang w:val="en-US" w:eastAsia="zh-CN"/>
        </w:rPr>
        <w:t>本规范</w:t>
      </w:r>
      <w:r>
        <w:rPr>
          <w:rFonts w:hint="eastAsia" w:ascii="宋体" w:hAnsi="宋体"/>
          <w:sz w:val="24"/>
        </w:rPr>
        <w:t>预期的经济效益</w:t>
      </w:r>
      <w:r>
        <w:rPr>
          <w:rFonts w:hint="eastAsia" w:ascii="宋体" w:hAnsi="宋体"/>
          <w:sz w:val="24"/>
          <w:lang w:eastAsia="zh-CN"/>
        </w:rPr>
        <w:t>：</w:t>
      </w:r>
      <w:r>
        <w:rPr>
          <w:rFonts w:hint="eastAsia" w:ascii="宋体" w:hAnsi="宋体"/>
          <w:sz w:val="24"/>
          <w:lang w:val="en-US" w:eastAsia="zh-CN"/>
        </w:rPr>
        <w:t>可以</w:t>
      </w:r>
      <w:r>
        <w:rPr>
          <w:rFonts w:hint="eastAsia" w:ascii="宋体" w:hAnsi="宋体"/>
          <w:sz w:val="24"/>
        </w:rPr>
        <w:t>促进国产仪器竞争力</w:t>
      </w:r>
      <w:r>
        <w:rPr>
          <w:rFonts w:hint="eastAsia" w:ascii="宋体" w:hAnsi="宋体"/>
          <w:sz w:val="24"/>
          <w:lang w:eastAsia="zh-CN"/>
        </w:rPr>
        <w:t>，</w:t>
      </w:r>
      <w:r>
        <w:rPr>
          <w:rFonts w:hint="eastAsia" w:ascii="宋体" w:hAnsi="宋体"/>
          <w:sz w:val="24"/>
          <w:lang w:val="en-US" w:eastAsia="zh-CN"/>
        </w:rPr>
        <w:t>因</w:t>
      </w:r>
      <w:r>
        <w:rPr>
          <w:rFonts w:hint="eastAsia" w:ascii="宋体" w:hAnsi="宋体"/>
          <w:sz w:val="24"/>
        </w:rPr>
        <w:t>统一的</w:t>
      </w:r>
      <w:r>
        <w:rPr>
          <w:rFonts w:hint="eastAsia" w:ascii="宋体" w:hAnsi="宋体"/>
          <w:sz w:val="24"/>
          <w:lang w:eastAsia="zh-CN"/>
        </w:rPr>
        <w:t>校准规范</w:t>
      </w:r>
      <w:r>
        <w:rPr>
          <w:rFonts w:hint="eastAsia" w:ascii="宋体" w:hAnsi="宋体"/>
          <w:sz w:val="24"/>
        </w:rPr>
        <w:t>为国产直流比例标准装置提供了标准依据，有助于提升产品技术附加值，降低对进口校准服务的依赖，带动国内精密电测仪器产业发展。</w:t>
      </w:r>
    </w:p>
    <w:p w14:paraId="2B38E76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宋体" w:hAnsi="宋体"/>
          <w:sz w:val="24"/>
        </w:rPr>
      </w:pPr>
      <w:r>
        <w:rPr>
          <w:rFonts w:hint="eastAsia" w:ascii="宋体" w:hAnsi="宋体"/>
          <w:sz w:val="24"/>
        </w:rPr>
        <w:t>预期的社会效益</w:t>
      </w:r>
      <w:r>
        <w:rPr>
          <w:rFonts w:hint="eastAsia" w:ascii="宋体" w:hAnsi="宋体"/>
          <w:sz w:val="24"/>
          <w:lang w:eastAsia="zh-CN"/>
        </w:rPr>
        <w:t>：</w:t>
      </w:r>
      <w:r>
        <w:rPr>
          <w:rFonts w:hint="eastAsia" w:ascii="宋体" w:hAnsi="宋体"/>
          <w:sz w:val="24"/>
        </w:rPr>
        <w:t>保障量值传递的自主性与可靠性</w:t>
      </w:r>
      <w:r>
        <w:rPr>
          <w:rFonts w:hint="eastAsia" w:ascii="宋体" w:hAnsi="宋体"/>
          <w:sz w:val="24"/>
          <w:lang w:eastAsia="zh-CN"/>
        </w:rPr>
        <w:t>，</w:t>
      </w:r>
      <w:r>
        <w:rPr>
          <w:rFonts w:hint="eastAsia" w:ascii="宋体" w:hAnsi="宋体"/>
          <w:sz w:val="24"/>
          <w:lang w:val="en-US" w:eastAsia="zh-CN"/>
        </w:rPr>
        <w:t>因</w:t>
      </w:r>
      <w:r>
        <w:rPr>
          <w:rFonts w:hint="eastAsia" w:ascii="宋体" w:hAnsi="宋体"/>
          <w:sz w:val="24"/>
        </w:rPr>
        <w:t>自校准方法使增强国家电学量值体系的韧性与覆盖面。提升行业测量准确性</w:t>
      </w:r>
      <w:r>
        <w:rPr>
          <w:rFonts w:hint="eastAsia" w:ascii="宋体" w:hAnsi="宋体"/>
          <w:sz w:val="24"/>
          <w:lang w:eastAsia="zh-CN"/>
        </w:rPr>
        <w:t>，</w:t>
      </w:r>
      <w:r>
        <w:rPr>
          <w:rFonts w:hint="eastAsia" w:ascii="宋体" w:hAnsi="宋体"/>
          <w:sz w:val="24"/>
        </w:rPr>
        <w:t>规范化的测试点（10%</w:t>
      </w:r>
      <w:r>
        <w:rPr>
          <w:rFonts w:hint="default" w:ascii="Times New Roman" w:hAnsi="Times New Roman" w:cs="Times New Roman"/>
          <w:sz w:val="24"/>
        </w:rPr>
        <w:t>~</w:t>
      </w:r>
      <w:r>
        <w:rPr>
          <w:rFonts w:hint="eastAsia" w:ascii="宋体" w:hAnsi="宋体"/>
          <w:sz w:val="24"/>
        </w:rPr>
        <w:t>100%全量程）和温湿度要求，能系统评估装置的线性度和稳定性，避免因比例误差导致的产品质量事故或安全事故。推动计量技术下沉与人才培养</w:t>
      </w:r>
      <w:r>
        <w:rPr>
          <w:rFonts w:hint="eastAsia" w:ascii="宋体" w:hAnsi="宋体"/>
          <w:sz w:val="24"/>
          <w:lang w:eastAsia="zh-CN"/>
        </w:rPr>
        <w:t>，</w:t>
      </w:r>
      <w:r>
        <w:rPr>
          <w:rFonts w:hint="eastAsia" w:ascii="宋体" w:hAnsi="宋体"/>
          <w:sz w:val="24"/>
        </w:rPr>
        <w:t>自校准操作简便、成本可控。支持国家新能源与智能制造战略</w:t>
      </w:r>
      <w:r>
        <w:rPr>
          <w:rFonts w:hint="eastAsia" w:ascii="宋体" w:hAnsi="宋体"/>
          <w:sz w:val="24"/>
          <w:lang w:eastAsia="zh-CN"/>
        </w:rPr>
        <w:t>，</w:t>
      </w:r>
      <w:r>
        <w:rPr>
          <w:rFonts w:hint="eastAsia" w:ascii="宋体" w:hAnsi="宋体"/>
          <w:sz w:val="24"/>
          <w:lang w:val="en-US" w:eastAsia="zh-CN"/>
        </w:rPr>
        <w:t>因为</w:t>
      </w:r>
      <w:r>
        <w:rPr>
          <w:rFonts w:hint="eastAsia" w:ascii="宋体" w:hAnsi="宋体"/>
          <w:sz w:val="24"/>
        </w:rPr>
        <w:t>直流大电流测量是电动汽车充电桩、储能系统、氢能电解槽的核心环节。本规范有助于提升相关产业链的测试一致性，支撑“双碳”目标下的高质量设备制造与运行。</w:t>
      </w:r>
    </w:p>
    <w:p w14:paraId="45772F53">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eastAsia" w:ascii="宋体" w:hAnsi="宋体"/>
          <w:sz w:val="24"/>
        </w:rPr>
      </w:pPr>
      <w:r>
        <w:rPr>
          <w:rFonts w:hint="eastAsia" w:ascii="宋体" w:hAnsi="宋体"/>
          <w:sz w:val="24"/>
        </w:rPr>
        <w:t>预期的生态效益</w:t>
      </w:r>
      <w:r>
        <w:rPr>
          <w:rFonts w:hint="eastAsia" w:ascii="宋体" w:hAnsi="宋体"/>
          <w:sz w:val="24"/>
          <w:lang w:eastAsia="zh-CN"/>
        </w:rPr>
        <w:t>：</w:t>
      </w:r>
      <w:r>
        <w:rPr>
          <w:rFonts w:hint="eastAsia" w:ascii="宋体" w:hAnsi="宋体"/>
          <w:sz w:val="24"/>
          <w:lang w:val="en-US" w:eastAsia="zh-CN"/>
        </w:rPr>
        <w:t>规范统一直流电流比例自校准的方法，减小自校准不确定度，促进技术革新，为电流测量相关仪器尤其是新能源的发展提供技术支撑，为节能减排提供数据支撑。延长仪器的使用寿命，</w:t>
      </w:r>
      <w:r>
        <w:rPr>
          <w:rFonts w:hint="eastAsia" w:ascii="宋体" w:hAnsi="宋体"/>
          <w:sz w:val="24"/>
        </w:rPr>
        <w:t>降低资源消耗</w:t>
      </w:r>
      <w:r>
        <w:rPr>
          <w:rFonts w:hint="eastAsia" w:ascii="宋体" w:hAnsi="宋体"/>
          <w:sz w:val="24"/>
          <w:lang w:eastAsia="zh-CN"/>
        </w:rPr>
        <w:t>，</w:t>
      </w:r>
      <w:r>
        <w:rPr>
          <w:rFonts w:hint="eastAsia" w:ascii="宋体" w:hAnsi="宋体"/>
          <w:sz w:val="24"/>
          <w:lang w:val="en-US" w:eastAsia="zh-CN"/>
        </w:rPr>
        <w:t>为</w:t>
      </w:r>
      <w:r>
        <w:rPr>
          <w:rFonts w:hint="eastAsia" w:ascii="宋体" w:hAnsi="宋体"/>
          <w:sz w:val="24"/>
        </w:rPr>
        <w:t>计量领域践行生态文明建设</w:t>
      </w:r>
      <w:r>
        <w:rPr>
          <w:rFonts w:hint="eastAsia" w:ascii="宋体" w:hAnsi="宋体"/>
          <w:sz w:val="24"/>
          <w:lang w:val="en-US" w:eastAsia="zh-CN"/>
        </w:rPr>
        <w:t>贡献技术支撑</w:t>
      </w:r>
      <w:r>
        <w:rPr>
          <w:rFonts w:hint="eastAsia" w:ascii="宋体" w:hAnsi="宋体"/>
          <w:sz w:val="24"/>
        </w:rPr>
        <w:t>。</w:t>
      </w:r>
    </w:p>
    <w:p w14:paraId="6AC6D323">
      <w:pPr>
        <w:numPr>
          <w:ilvl w:val="0"/>
          <w:numId w:val="0"/>
        </w:numPr>
        <w:spacing w:after="0" w:line="360" w:lineRule="auto"/>
        <w:ind w:firstLine="480" w:firstLineChars="200"/>
        <w:rPr>
          <w:rFonts w:hint="eastAsia" w:ascii="宋体" w:hAnsi="宋体"/>
          <w:sz w:val="24"/>
        </w:rPr>
      </w:pPr>
      <w:r>
        <w:rPr>
          <w:rFonts w:hint="eastAsia" w:ascii="宋体" w:hAnsi="宋体"/>
          <w:sz w:val="24"/>
          <w:lang w:val="en-US" w:eastAsia="zh-CN"/>
        </w:rPr>
        <w:t>因此，</w:t>
      </w:r>
      <w:r>
        <w:rPr>
          <w:rFonts w:hint="eastAsia" w:ascii="宋体" w:hAnsi="宋体"/>
          <w:sz w:val="24"/>
        </w:rPr>
        <w:t>制定《直流电流比例标准</w:t>
      </w:r>
      <w:r>
        <w:rPr>
          <w:rFonts w:hint="eastAsia" w:ascii="宋体" w:hAnsi="宋体"/>
          <w:sz w:val="24"/>
          <w:lang w:eastAsia="zh-CN"/>
        </w:rPr>
        <w:t>校准规范</w:t>
      </w:r>
      <w:r>
        <w:rPr>
          <w:rFonts w:hint="eastAsia" w:ascii="宋体" w:hAnsi="宋体"/>
          <w:sz w:val="24"/>
        </w:rPr>
        <w:t>》具有显著的技术经济可行性。预期可产生直接经济效益、广泛社会效益和明确生态效益。</w:t>
      </w:r>
    </w:p>
    <w:p w14:paraId="336AEAB7">
      <w:pPr>
        <w:pStyle w:val="11"/>
        <w:spacing w:before="156" w:beforeLines="50" w:after="0" w:line="500" w:lineRule="exact"/>
        <w:ind w:firstLine="560" w:firstLineChars="200"/>
        <w:jc w:val="left"/>
        <w:rPr>
          <w:sz w:val="28"/>
          <w:szCs w:val="28"/>
        </w:rPr>
      </w:pPr>
      <w:r>
        <w:rPr>
          <w:rFonts w:hint="eastAsia"/>
          <w:sz w:val="28"/>
          <w:szCs w:val="28"/>
        </w:rPr>
        <w:t>五、与国际、国外同类标准技术内容的对比情况，或者与测试的国外样品、样机的有关数据对比情况。</w:t>
      </w:r>
      <w:bookmarkEnd w:id="16"/>
      <w:bookmarkEnd w:id="17"/>
    </w:p>
    <w:p w14:paraId="101DCF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sz w:val="24"/>
        </w:rPr>
      </w:pPr>
      <w:r>
        <w:rPr>
          <w:rFonts w:hint="eastAsia" w:ascii="宋体" w:hAnsi="宋体"/>
          <w:sz w:val="24"/>
        </w:rPr>
        <w:t>本技术规范没有采用国际标准和国外标准。</w:t>
      </w:r>
    </w:p>
    <w:p w14:paraId="0B4AE58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sz w:val="24"/>
        </w:rPr>
      </w:pPr>
      <w:r>
        <w:rPr>
          <w:rFonts w:hint="eastAsia" w:ascii="宋体" w:hAnsi="宋体"/>
          <w:sz w:val="24"/>
        </w:rPr>
        <w:t>经查询，国外未见有关</w:t>
      </w:r>
      <w:r>
        <w:rPr>
          <w:rFonts w:hint="eastAsia" w:ascii="宋体" w:hAnsi="宋体"/>
          <w:sz w:val="24"/>
          <w:lang w:val="en-US" w:eastAsia="zh-CN"/>
        </w:rPr>
        <w:t>直标准自校准</w:t>
      </w:r>
      <w:r>
        <w:rPr>
          <w:rFonts w:hint="eastAsia" w:ascii="宋体" w:hAnsi="宋体"/>
          <w:sz w:val="24"/>
        </w:rPr>
        <w:t>的方法的相关报道。</w:t>
      </w:r>
      <w:r>
        <w:rPr>
          <w:rFonts w:hint="eastAsia" w:ascii="宋体" w:hAnsi="宋体"/>
          <w:sz w:val="24"/>
          <w:lang w:val="en-US" w:eastAsia="zh-CN"/>
        </w:rPr>
        <w:t>也</w:t>
      </w:r>
      <w:r>
        <w:rPr>
          <w:rFonts w:hint="eastAsia" w:ascii="宋体" w:hAnsi="宋体"/>
          <w:sz w:val="24"/>
        </w:rPr>
        <w:t>未查到相关标准。</w:t>
      </w:r>
    </w:p>
    <w:p w14:paraId="0C0644AB">
      <w:pPr>
        <w:pStyle w:val="11"/>
        <w:spacing w:before="156" w:beforeLines="50" w:after="0" w:line="500" w:lineRule="exact"/>
        <w:ind w:firstLine="560" w:firstLineChars="200"/>
        <w:jc w:val="left"/>
        <w:rPr>
          <w:sz w:val="28"/>
          <w:szCs w:val="28"/>
        </w:rPr>
      </w:pPr>
      <w:bookmarkStart w:id="18" w:name="_Toc116567675"/>
      <w:bookmarkStart w:id="19" w:name="_Toc116567856"/>
      <w:r>
        <w:rPr>
          <w:rFonts w:hint="eastAsia"/>
          <w:sz w:val="28"/>
          <w:szCs w:val="28"/>
        </w:rPr>
        <w:t>六、与</w:t>
      </w:r>
      <w:bookmarkEnd w:id="18"/>
      <w:bookmarkEnd w:id="19"/>
      <w:r>
        <w:rPr>
          <w:rFonts w:hint="eastAsia"/>
          <w:sz w:val="28"/>
          <w:szCs w:val="28"/>
        </w:rPr>
        <w:t>有关法律、行政法规及相关标准的关系。</w:t>
      </w:r>
    </w:p>
    <w:p w14:paraId="37092F69">
      <w:pPr>
        <w:spacing w:after="0" w:line="360" w:lineRule="auto"/>
        <w:ind w:firstLine="480" w:firstLineChars="200"/>
        <w:rPr>
          <w:rFonts w:ascii="宋体" w:hAnsi="宋体"/>
          <w:sz w:val="24"/>
        </w:rPr>
      </w:pPr>
      <w:r>
        <w:rPr>
          <w:rFonts w:hint="eastAsia" w:ascii="宋体" w:hAnsi="宋体"/>
          <w:sz w:val="24"/>
        </w:rPr>
        <w:t>本技术规范在起草过程中主要参考和引用了以下技术文件：</w:t>
      </w:r>
    </w:p>
    <w:p w14:paraId="20F0F616">
      <w:pPr>
        <w:pStyle w:val="7"/>
        <w:spacing w:line="360" w:lineRule="auto"/>
        <w:ind w:left="775" w:leftChars="199" w:hanging="357" w:hangingChars="149"/>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—GB/T 20840.8</w:t>
      </w:r>
      <w:r>
        <w:rPr>
          <w:rFonts w:ascii="宋体" w:hAnsi="宋体"/>
          <w:sz w:val="24"/>
        </w:rPr>
        <w:t>《</w:t>
      </w:r>
      <w:r>
        <w:rPr>
          <w:rFonts w:hint="eastAsia" w:ascii="宋体" w:hAnsi="宋体" w:eastAsia="宋体" w:cs="Times New Roman"/>
          <w:kern w:val="2"/>
          <w:sz w:val="24"/>
          <w:szCs w:val="24"/>
          <w:lang w:val="en-US" w:eastAsia="zh-CN" w:bidi="ar-SA"/>
        </w:rPr>
        <w:t>互感器第8部分：电子式电流互感器</w:t>
      </w:r>
      <w:r>
        <w:rPr>
          <w:rFonts w:hint="eastAsia" w:ascii="宋体" w:hAnsi="宋体"/>
          <w:sz w:val="24"/>
          <w:lang w:eastAsia="zh-CN"/>
        </w:rPr>
        <w:t>》</w:t>
      </w:r>
      <w:r>
        <w:rPr>
          <w:rFonts w:hint="eastAsia" w:ascii="宋体" w:hAnsi="宋体" w:eastAsia="宋体" w:cs="Times New Roman"/>
          <w:kern w:val="2"/>
          <w:sz w:val="24"/>
          <w:szCs w:val="24"/>
          <w:lang w:val="en-US" w:eastAsia="zh-CN" w:bidi="ar-SA"/>
        </w:rPr>
        <w:t>。</w:t>
      </w:r>
    </w:p>
    <w:p w14:paraId="161C9E63">
      <w:pPr>
        <w:spacing w:after="0" w:line="360" w:lineRule="auto"/>
        <w:ind w:firstLine="480" w:firstLineChars="200"/>
        <w:rPr>
          <w:rFonts w:hint="eastAsia" w:ascii="宋体" w:hAnsi="宋体"/>
          <w:sz w:val="24"/>
        </w:rPr>
      </w:pPr>
      <w:r>
        <w:rPr>
          <w:rFonts w:hint="eastAsia" w:ascii="宋体" w:hAnsi="宋体"/>
          <w:sz w:val="24"/>
        </w:rPr>
        <w:t>本技术规范与相关技术领域的国家现行法律、法规和政策保持一致。</w:t>
      </w:r>
    </w:p>
    <w:p w14:paraId="6C946B65">
      <w:pPr>
        <w:pStyle w:val="11"/>
        <w:spacing w:before="156" w:beforeLines="50" w:after="0" w:line="500" w:lineRule="exact"/>
        <w:ind w:firstLine="560" w:firstLineChars="200"/>
        <w:jc w:val="left"/>
        <w:rPr>
          <w:sz w:val="28"/>
          <w:szCs w:val="28"/>
        </w:rPr>
      </w:pPr>
      <w:bookmarkStart w:id="20" w:name="_Toc116567677"/>
      <w:bookmarkStart w:id="21" w:name="_Toc116567858"/>
      <w:r>
        <w:rPr>
          <w:rFonts w:hint="eastAsia"/>
          <w:sz w:val="28"/>
          <w:szCs w:val="28"/>
          <w:lang w:val="en-US" w:eastAsia="zh-CN"/>
        </w:rPr>
        <w:t>七</w:t>
      </w:r>
      <w:r>
        <w:rPr>
          <w:rFonts w:hint="eastAsia"/>
          <w:sz w:val="28"/>
          <w:szCs w:val="28"/>
        </w:rPr>
        <w:t>、涉及专利的说明。</w:t>
      </w:r>
      <w:bookmarkEnd w:id="20"/>
      <w:bookmarkEnd w:id="21"/>
    </w:p>
    <w:p w14:paraId="4A1B4339">
      <w:pPr>
        <w:spacing w:after="0" w:line="360" w:lineRule="auto"/>
        <w:ind w:firstLine="480" w:firstLineChars="200"/>
        <w:rPr>
          <w:rFonts w:hint="eastAsia" w:ascii="宋体" w:hAnsi="宋体"/>
          <w:sz w:val="24"/>
        </w:rPr>
      </w:pPr>
      <w:r>
        <w:rPr>
          <w:rFonts w:hint="eastAsia" w:ascii="宋体" w:hAnsi="宋体"/>
          <w:sz w:val="24"/>
        </w:rPr>
        <w:t>本技术规范未涉及相关专利。</w:t>
      </w:r>
    </w:p>
    <w:p w14:paraId="6FDB5567">
      <w:pPr>
        <w:pStyle w:val="11"/>
        <w:numPr>
          <w:ilvl w:val="0"/>
          <w:numId w:val="0"/>
        </w:numPr>
        <w:spacing w:before="156" w:beforeLines="50" w:after="0" w:line="500" w:lineRule="exact"/>
        <w:ind w:firstLine="560" w:firstLineChars="200"/>
        <w:jc w:val="left"/>
        <w:rPr>
          <w:sz w:val="28"/>
          <w:szCs w:val="28"/>
        </w:rPr>
      </w:pPr>
      <w:bookmarkStart w:id="22" w:name="_Toc116567860"/>
      <w:bookmarkStart w:id="23" w:name="_Toc116567679"/>
      <w:bookmarkStart w:id="24" w:name="_Hlk120178554"/>
      <w:r>
        <w:rPr>
          <w:rFonts w:hint="eastAsia"/>
          <w:sz w:val="28"/>
          <w:szCs w:val="28"/>
          <w:lang w:val="en-US" w:eastAsia="zh-CN"/>
        </w:rPr>
        <w:t>八、</w:t>
      </w:r>
      <w:r>
        <w:rPr>
          <w:rFonts w:hint="eastAsia"/>
          <w:sz w:val="28"/>
          <w:szCs w:val="28"/>
        </w:rPr>
        <w:t>重要技术条文解</w:t>
      </w:r>
      <w:bookmarkEnd w:id="22"/>
      <w:bookmarkEnd w:id="23"/>
      <w:r>
        <w:rPr>
          <w:rFonts w:hint="eastAsia"/>
          <w:sz w:val="28"/>
          <w:szCs w:val="28"/>
        </w:rPr>
        <w:t>释。</w:t>
      </w:r>
    </w:p>
    <w:p w14:paraId="37FCA2E6">
      <w:pPr>
        <w:spacing w:after="0" w:line="360" w:lineRule="auto"/>
        <w:ind w:firstLine="480" w:firstLineChars="200"/>
        <w:rPr>
          <w:rFonts w:hint="eastAsia" w:ascii="宋体" w:hAnsi="宋体"/>
          <w:sz w:val="24"/>
          <w:szCs w:val="24"/>
        </w:rPr>
      </w:pPr>
      <w:r>
        <w:rPr>
          <w:rFonts w:hint="eastAsia" w:ascii="宋体" w:hAnsi="宋体"/>
          <w:sz w:val="24"/>
          <w:szCs w:val="24"/>
        </w:rPr>
        <w:t>1 适用范围</w:t>
      </w:r>
    </w:p>
    <w:p w14:paraId="236B04FB">
      <w:pPr>
        <w:spacing w:after="0" w:line="360" w:lineRule="auto"/>
        <w:ind w:firstLine="480" w:firstLineChars="200"/>
        <w:rPr>
          <w:rFonts w:hint="eastAsia" w:ascii="宋体" w:hAnsi="宋体"/>
          <w:sz w:val="24"/>
          <w:szCs w:val="24"/>
        </w:rPr>
      </w:pPr>
      <w:r>
        <w:rPr>
          <w:rFonts w:hint="eastAsia" w:ascii="宋体" w:hAnsi="宋体"/>
          <w:sz w:val="24"/>
          <w:szCs w:val="24"/>
        </w:rPr>
        <w:t>本规范适用于</w:t>
      </w:r>
      <w:r>
        <w:rPr>
          <w:rFonts w:hint="eastAsia" w:ascii="宋体" w:hAnsi="宋体"/>
          <w:sz w:val="24"/>
          <w:szCs w:val="24"/>
          <w:lang w:val="en-US" w:eastAsia="zh-CN"/>
        </w:rPr>
        <w:t>采用</w:t>
      </w:r>
      <w:r>
        <w:rPr>
          <w:rFonts w:hint="eastAsia" w:ascii="宋体" w:hAnsi="宋体"/>
          <w:sz w:val="24"/>
          <w:szCs w:val="24"/>
        </w:rPr>
        <w:t>串并联法</w:t>
      </w:r>
      <w:r>
        <w:rPr>
          <w:rFonts w:hint="eastAsia" w:ascii="宋体" w:hAnsi="宋体"/>
          <w:sz w:val="24"/>
          <w:szCs w:val="24"/>
          <w:lang w:val="en-US" w:eastAsia="zh-CN"/>
        </w:rPr>
        <w:t>的直流电流比例标准装置的自校准</w:t>
      </w:r>
      <w:r>
        <w:rPr>
          <w:rFonts w:hint="eastAsia" w:ascii="宋体" w:hAnsi="宋体"/>
          <w:sz w:val="24"/>
          <w:szCs w:val="24"/>
        </w:rPr>
        <w:t>。</w:t>
      </w:r>
    </w:p>
    <w:p w14:paraId="161A09AC">
      <w:pPr>
        <w:spacing w:after="0" w:line="360" w:lineRule="auto"/>
        <w:ind w:firstLine="480" w:firstLineChars="200"/>
        <w:rPr>
          <w:rFonts w:hint="eastAsia" w:ascii="宋体" w:hAnsi="宋体"/>
          <w:sz w:val="24"/>
          <w:szCs w:val="24"/>
        </w:rPr>
      </w:pPr>
      <w:r>
        <w:rPr>
          <w:rFonts w:hint="eastAsia" w:ascii="宋体" w:hAnsi="宋体"/>
          <w:sz w:val="24"/>
          <w:szCs w:val="24"/>
          <w:lang w:val="en-US" w:eastAsia="zh-CN"/>
        </w:rPr>
        <w:t>适用对象：</w:t>
      </w:r>
      <w:r>
        <w:rPr>
          <w:rFonts w:hint="eastAsia" w:ascii="宋体" w:hAnsi="宋体"/>
          <w:sz w:val="24"/>
          <w:szCs w:val="24"/>
        </w:rPr>
        <w:t>本规范</w:t>
      </w:r>
      <w:r>
        <w:rPr>
          <w:rFonts w:hint="eastAsia" w:ascii="宋体" w:hAnsi="宋体"/>
          <w:sz w:val="24"/>
          <w:szCs w:val="24"/>
          <w:lang w:val="en-US" w:eastAsia="zh-CN"/>
        </w:rPr>
        <w:t>所适用的对象为基于串并联原理构成的直流电流比例标准装置。可以实现并联校准串并联使用</w:t>
      </w:r>
      <w:r>
        <w:rPr>
          <w:rFonts w:hint="eastAsia" w:ascii="宋体" w:hAnsi="宋体"/>
          <w:sz w:val="24"/>
          <w:szCs w:val="24"/>
        </w:rPr>
        <w:t>。</w:t>
      </w:r>
    </w:p>
    <w:p w14:paraId="22EB0AAC">
      <w:pPr>
        <w:spacing w:after="0"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适用场景：本规范仅用于装置的自校准，即装置自身在无需要外部更高准确度的电流比例标准器的条件下实现自校准，自校准结果可作为装置的量值溯源与性能验证的依据。</w:t>
      </w:r>
    </w:p>
    <w:p w14:paraId="6A02C394">
      <w:pPr>
        <w:spacing w:after="0"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4 概述</w:t>
      </w:r>
    </w:p>
    <w:p w14:paraId="7190620E">
      <w:pPr>
        <w:spacing w:after="0" w:line="360" w:lineRule="auto"/>
        <w:ind w:firstLine="480" w:firstLineChars="200"/>
        <w:rPr>
          <w:rFonts w:hint="eastAsia" w:ascii="宋体" w:hAnsi="宋体"/>
          <w:sz w:val="24"/>
          <w:szCs w:val="24"/>
        </w:rPr>
      </w:pPr>
      <w:r>
        <w:rPr>
          <w:rFonts w:hint="eastAsia" w:ascii="宋体" w:hAnsi="宋体"/>
          <w:sz w:val="24"/>
          <w:szCs w:val="24"/>
        </w:rPr>
        <w:t>本条文规定了进行直流电流比例标准装置</w:t>
      </w:r>
      <w:r>
        <w:rPr>
          <w:rFonts w:hint="eastAsia" w:ascii="宋体" w:hAnsi="宋体"/>
          <w:sz w:val="24"/>
          <w:szCs w:val="24"/>
          <w:lang w:val="en-US" w:eastAsia="zh-CN"/>
        </w:rPr>
        <w:t>的原理、结构和应用场景</w:t>
      </w:r>
      <w:r>
        <w:rPr>
          <w:rFonts w:hint="eastAsia" w:ascii="宋体" w:hAnsi="宋体"/>
          <w:sz w:val="24"/>
          <w:szCs w:val="24"/>
        </w:rPr>
        <w:t>。</w:t>
      </w:r>
    </w:p>
    <w:p w14:paraId="53AB1009">
      <w:pPr>
        <w:spacing w:after="0" w:line="360" w:lineRule="auto"/>
        <w:ind w:firstLine="480" w:firstLineChars="200"/>
        <w:rPr>
          <w:rFonts w:hint="eastAsia" w:ascii="宋体" w:hAnsi="宋体"/>
          <w:sz w:val="24"/>
          <w:szCs w:val="24"/>
        </w:rPr>
      </w:pPr>
      <w:r>
        <w:rPr>
          <w:rFonts w:hint="eastAsia" w:ascii="宋体" w:hAnsi="宋体"/>
          <w:sz w:val="24"/>
          <w:szCs w:val="24"/>
        </w:rPr>
        <w:t>本条文作为规范的总领性条款，明确了后续各章（如环境条件</w:t>
      </w:r>
      <w:r>
        <w:rPr>
          <w:rFonts w:hint="eastAsia" w:ascii="宋体" w:hAnsi="宋体"/>
          <w:sz w:val="24"/>
          <w:szCs w:val="24"/>
          <w:lang w:val="en-US" w:eastAsia="zh-CN"/>
        </w:rPr>
        <w:t>和</w:t>
      </w:r>
      <w:r>
        <w:rPr>
          <w:rFonts w:hint="eastAsia" w:ascii="宋体" w:hAnsi="宋体"/>
          <w:sz w:val="24"/>
          <w:szCs w:val="24"/>
        </w:rPr>
        <w:t>校准方法等）所围绕的核心对象</w:t>
      </w:r>
      <w:r>
        <w:rPr>
          <w:rFonts w:hint="eastAsia" w:ascii="宋体" w:hAnsi="宋体"/>
          <w:sz w:val="24"/>
          <w:szCs w:val="24"/>
          <w:lang w:val="en-US" w:eastAsia="zh-CN"/>
        </w:rPr>
        <w:t>为直</w:t>
      </w:r>
      <w:r>
        <w:rPr>
          <w:rFonts w:hint="eastAsia" w:ascii="宋体" w:hAnsi="宋体"/>
          <w:sz w:val="24"/>
          <w:szCs w:val="24"/>
        </w:rPr>
        <w:t>电流比例标准装置应具备的基本特征。</w:t>
      </w:r>
    </w:p>
    <w:p w14:paraId="15D71E9B">
      <w:pPr>
        <w:spacing w:after="0" w:line="360" w:lineRule="auto"/>
        <w:ind w:firstLine="480" w:firstLineChars="200"/>
        <w:rPr>
          <w:rFonts w:hint="eastAsia" w:ascii="宋体" w:hAnsi="宋体"/>
          <w:sz w:val="24"/>
          <w:szCs w:val="24"/>
        </w:rPr>
      </w:pPr>
      <w:r>
        <w:rPr>
          <w:rFonts w:hint="eastAsia" w:ascii="宋体" w:hAnsi="宋体"/>
          <w:sz w:val="24"/>
          <w:szCs w:val="24"/>
        </w:rPr>
        <w:t>本规范所适用的直流电流比例标准装置，其核心测量原理应为串并联法。</w:t>
      </w:r>
    </w:p>
    <w:p w14:paraId="5B55DD12">
      <w:pPr>
        <w:spacing w:after="0" w:line="360" w:lineRule="auto"/>
        <w:ind w:firstLine="480" w:firstLineChars="200"/>
        <w:rPr>
          <w:rFonts w:hint="eastAsia" w:ascii="宋体" w:hAnsi="宋体" w:eastAsia="宋体"/>
          <w:sz w:val="24"/>
          <w:szCs w:val="24"/>
          <w:lang w:eastAsia="zh-CN"/>
        </w:rPr>
      </w:pPr>
      <w:r>
        <w:rPr>
          <w:rFonts w:hint="eastAsia" w:ascii="宋体" w:hAnsi="宋体"/>
          <w:sz w:val="24"/>
          <w:szCs w:val="24"/>
        </w:rPr>
        <w:t>条文要求装置应具备实现</w:t>
      </w:r>
      <w:r>
        <w:rPr>
          <w:rFonts w:hint="eastAsia" w:ascii="宋体" w:hAnsi="宋体"/>
          <w:sz w:val="24"/>
          <w:szCs w:val="24"/>
          <w:lang w:val="en-US" w:eastAsia="zh-CN"/>
        </w:rPr>
        <w:t>串并联</w:t>
      </w:r>
      <w:r>
        <w:rPr>
          <w:rFonts w:hint="eastAsia" w:ascii="宋体" w:hAnsi="宋体"/>
          <w:sz w:val="24"/>
          <w:szCs w:val="24"/>
        </w:rPr>
        <w:t>原理的物理结构</w:t>
      </w:r>
      <w:r>
        <w:rPr>
          <w:rFonts w:hint="eastAsia" w:ascii="宋体" w:hAnsi="宋体"/>
          <w:sz w:val="24"/>
          <w:szCs w:val="24"/>
          <w:lang w:eastAsia="zh-CN"/>
        </w:rPr>
        <w:t>。</w:t>
      </w:r>
    </w:p>
    <w:p w14:paraId="017B1F99">
      <w:pPr>
        <w:spacing w:after="0" w:line="360" w:lineRule="auto"/>
        <w:ind w:firstLine="480" w:firstLineChars="200"/>
        <w:rPr>
          <w:rFonts w:hint="eastAsia" w:ascii="宋体" w:hAnsi="宋体"/>
          <w:sz w:val="24"/>
          <w:szCs w:val="24"/>
        </w:rPr>
      </w:pPr>
      <w:r>
        <w:rPr>
          <w:rFonts w:hint="eastAsia" w:ascii="宋体" w:hAnsi="宋体"/>
          <w:sz w:val="24"/>
          <w:szCs w:val="24"/>
        </w:rPr>
        <w:t>条文明确了该标准装置的主要使用场合，指装置内部自闭环的校准，不依赖于外部标准器。</w:t>
      </w:r>
    </w:p>
    <w:p w14:paraId="55AE2FE3">
      <w:pPr>
        <w:keepNext w:val="0"/>
        <w:keepLines w:val="0"/>
        <w:pageBreakBefore w:val="0"/>
        <w:widowControl w:val="0"/>
        <w:kinsoku/>
        <w:wordWrap/>
        <w:overflowPunct/>
        <w:topLinePunct w:val="0"/>
        <w:autoSpaceDE/>
        <w:autoSpaceDN/>
        <w:bidi w:val="0"/>
        <w:adjustRightInd/>
        <w:spacing w:after="0" w:line="360" w:lineRule="auto"/>
        <w:ind w:firstLine="480" w:firstLineChars="200"/>
        <w:textAlignment w:val="auto"/>
        <w:rPr>
          <w:rFonts w:hint="eastAsia" w:ascii="宋体" w:hAnsi="宋体"/>
          <w:color w:val="FF0000"/>
          <w:sz w:val="24"/>
        </w:rPr>
      </w:pPr>
      <w:r>
        <w:rPr>
          <w:rFonts w:hint="eastAsia" w:ascii="宋体" w:hAnsi="宋体"/>
          <w:sz w:val="24"/>
          <w:szCs w:val="24"/>
          <w:vertAlign w:val="baseline"/>
          <w:lang w:val="en-US" w:eastAsia="zh-CN"/>
        </w:rPr>
        <w:t xml:space="preserve"> 6</w:t>
      </w:r>
      <w:r>
        <w:rPr>
          <w:rFonts w:hint="eastAsia" w:ascii="宋体" w:hAnsi="宋体"/>
          <w:color w:val="auto"/>
          <w:sz w:val="24"/>
          <w:lang w:val="en-US" w:eastAsia="zh-CN"/>
        </w:rPr>
        <w:t>.1环境条件确定</w:t>
      </w:r>
    </w:p>
    <w:p w14:paraId="1CA590D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ascii="宋体" w:hAnsi="宋体"/>
          <w:sz w:val="24"/>
          <w:szCs w:val="24"/>
        </w:rPr>
      </w:pPr>
      <w:r>
        <w:rPr>
          <w:rFonts w:hint="eastAsia" w:ascii="宋体" w:hAnsi="宋体"/>
          <w:sz w:val="24"/>
          <w:szCs w:val="24"/>
        </w:rPr>
        <w:t>环境温度：</w:t>
      </w:r>
      <w:r>
        <w:rPr>
          <w:rFonts w:hint="eastAsia" w:ascii="宋体" w:hAnsi="宋体" w:eastAsia="宋体" w:cs="Times New Roman"/>
          <w:sz w:val="24"/>
          <w:szCs w:val="24"/>
        </w:rPr>
        <w:t>（20±5）℃；</w:t>
      </w:r>
    </w:p>
    <w:p w14:paraId="443677C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 xml:space="preserve">相对湿度：≤ </w:t>
      </w:r>
      <w:r>
        <w:rPr>
          <w:rFonts w:hint="eastAsia" w:ascii="宋体" w:hAnsi="宋体"/>
          <w:sz w:val="24"/>
          <w:szCs w:val="24"/>
          <w:lang w:val="en-US" w:eastAsia="zh-CN"/>
        </w:rPr>
        <w:t>70</w:t>
      </w:r>
      <w:r>
        <w:rPr>
          <w:rFonts w:hint="eastAsia" w:ascii="宋体" w:hAnsi="宋体"/>
          <w:sz w:val="24"/>
          <w:szCs w:val="24"/>
        </w:rPr>
        <w:t>% RH。</w:t>
      </w:r>
    </w:p>
    <w:p w14:paraId="3CAEEBE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本条文规定了采用串并联法原理进行直流电流比例标准装置自校准时，对环境温度和相对湿度的控制要求。</w:t>
      </w:r>
    </w:p>
    <w:p w14:paraId="6C5E5C2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环境温度：（20±5）℃</w:t>
      </w:r>
    </w:p>
    <w:p w14:paraId="4D23FA7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lang w:val="en-US" w:eastAsia="zh-CN"/>
        </w:rPr>
      </w:pPr>
      <w:r>
        <w:rPr>
          <w:rFonts w:hint="eastAsia" w:ascii="宋体" w:hAnsi="宋体"/>
          <w:color w:val="FF0000"/>
          <w:sz w:val="24"/>
        </w:rPr>
        <w:t xml:space="preserve"> </w:t>
      </w:r>
      <w:r>
        <w:rPr>
          <w:rFonts w:hint="eastAsia" w:ascii="宋体" w:hAnsi="宋体"/>
          <w:sz w:val="24"/>
          <w:szCs w:val="24"/>
        </w:rPr>
        <w:t>参考温度的选择：国家计量技术规范通常将 20</w:t>
      </w:r>
      <w:r>
        <w:rPr>
          <w:rFonts w:hint="eastAsia" w:ascii="宋体" w:hAnsi="宋体"/>
          <w:sz w:val="24"/>
          <w:szCs w:val="24"/>
          <w:lang w:val="en-US" w:eastAsia="zh-CN"/>
        </w:rPr>
        <w:t xml:space="preserve"> </w:t>
      </w:r>
      <w:r>
        <w:rPr>
          <w:rFonts w:hint="eastAsia" w:ascii="宋体" w:hAnsi="宋体"/>
          <w:sz w:val="24"/>
          <w:szCs w:val="24"/>
        </w:rPr>
        <w:t>℃ 作为精密电测量的标准参考温度。该温度接近多数实验室的常年平均温度，且便于高精度电阻、磁调制器及电子元器件获得最佳性能。±5</w:t>
      </w:r>
      <w:r>
        <w:rPr>
          <w:rFonts w:hint="eastAsia" w:ascii="宋体" w:hAnsi="宋体"/>
          <w:sz w:val="24"/>
          <w:szCs w:val="24"/>
          <w:lang w:val="en-US" w:eastAsia="zh-CN"/>
        </w:rPr>
        <w:t xml:space="preserve"> </w:t>
      </w:r>
      <w:r>
        <w:rPr>
          <w:rFonts w:hint="eastAsia" w:ascii="宋体" w:hAnsi="宋体"/>
          <w:sz w:val="24"/>
          <w:szCs w:val="24"/>
        </w:rPr>
        <w:t>℃ 的允许波动范围这是综合考虑装置温度系数、校准可行性及成本后给出的工作区间，而非严格恒温要求。</w:t>
      </w:r>
      <w:r>
        <w:rPr>
          <w:rFonts w:hint="eastAsia" w:ascii="宋体" w:hAnsi="宋体"/>
          <w:sz w:val="24"/>
          <w:szCs w:val="24"/>
          <w:lang w:val="en-US" w:eastAsia="zh-CN"/>
        </w:rPr>
        <w:t>同时</w:t>
      </w:r>
      <w:r>
        <w:rPr>
          <w:rFonts w:hint="eastAsia" w:ascii="宋体" w:hAnsi="宋体"/>
          <w:sz w:val="24"/>
          <w:szCs w:val="24"/>
        </w:rPr>
        <w:t>对装置的影响</w:t>
      </w:r>
      <w:r>
        <w:rPr>
          <w:rFonts w:hint="eastAsia" w:ascii="宋体" w:hAnsi="宋体"/>
          <w:sz w:val="24"/>
          <w:szCs w:val="24"/>
          <w:lang w:val="en-US" w:eastAsia="zh-CN"/>
        </w:rPr>
        <w:t>小，因为</w:t>
      </w:r>
      <w:r>
        <w:rPr>
          <w:rFonts w:hint="eastAsia" w:ascii="宋体" w:hAnsi="宋体"/>
          <w:sz w:val="24"/>
          <w:szCs w:val="24"/>
        </w:rPr>
        <w:t>直流电流比例标准的核心部件（比例绕组电阻、磁芯特性）具有一定的温度系数。在（20±5）℃范围内，由此引入的附加比例误差通常远小于装置的最大允许误差。普通实验室无需昂贵的恒温恒湿箱，只需配备空调即可满足。</w:t>
      </w:r>
      <w:r>
        <w:rPr>
          <w:rFonts w:hint="eastAsia" w:ascii="宋体" w:hAnsi="宋体"/>
          <w:sz w:val="24"/>
          <w:szCs w:val="24"/>
          <w:lang w:val="en-US" w:eastAsia="zh-CN"/>
        </w:rPr>
        <w:t>因此，</w:t>
      </w:r>
      <w:r>
        <w:rPr>
          <w:rFonts w:hint="eastAsia" w:ascii="宋体" w:hAnsi="宋体"/>
          <w:sz w:val="24"/>
          <w:szCs w:val="24"/>
        </w:rPr>
        <w:t>实际可操作性</w:t>
      </w:r>
      <w:r>
        <w:rPr>
          <w:rFonts w:hint="eastAsia" w:ascii="宋体" w:hAnsi="宋体"/>
          <w:sz w:val="24"/>
          <w:szCs w:val="24"/>
          <w:lang w:val="en-US" w:eastAsia="zh-CN"/>
        </w:rPr>
        <w:t>强。</w:t>
      </w:r>
    </w:p>
    <w:p w14:paraId="14A0B0A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相对湿度：≤ 70% RH</w:t>
      </w:r>
    </w:p>
    <w:p w14:paraId="0E81A59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设定上限的目的</w:t>
      </w:r>
      <w:r>
        <w:rPr>
          <w:rFonts w:hint="eastAsia" w:ascii="宋体" w:hAnsi="宋体"/>
          <w:sz w:val="24"/>
          <w:szCs w:val="24"/>
          <w:lang w:val="en-US" w:eastAsia="zh-CN"/>
        </w:rPr>
        <w:t>是</w:t>
      </w:r>
      <w:r>
        <w:rPr>
          <w:rFonts w:hint="eastAsia" w:ascii="宋体" w:hAnsi="宋体"/>
          <w:sz w:val="24"/>
          <w:szCs w:val="24"/>
        </w:rPr>
        <w:t>防止绝缘劣化</w:t>
      </w:r>
      <w:r>
        <w:rPr>
          <w:rFonts w:hint="eastAsia" w:ascii="宋体" w:hAnsi="宋体"/>
          <w:sz w:val="24"/>
          <w:szCs w:val="24"/>
          <w:lang w:eastAsia="zh-CN"/>
        </w:rPr>
        <w:t>，</w:t>
      </w:r>
      <w:r>
        <w:rPr>
          <w:rFonts w:hint="eastAsia" w:ascii="宋体" w:hAnsi="宋体"/>
          <w:sz w:val="24"/>
          <w:szCs w:val="24"/>
          <w:lang w:val="en-US" w:eastAsia="zh-CN"/>
        </w:rPr>
        <w:t>因为</w:t>
      </w:r>
      <w:r>
        <w:rPr>
          <w:rFonts w:hint="eastAsia" w:ascii="宋体" w:hAnsi="宋体"/>
          <w:sz w:val="24"/>
          <w:szCs w:val="24"/>
        </w:rPr>
        <w:t>直流电流比例标准装置通常包含高绝缘电阻的绕组、接线柱及内部电路。相对湿度过高（&gt;70% RH）会导致绝缘表面吸附水膜，使泄漏电流增大，从而引入附加比例误差，甚至引起测量不稳定。</w:t>
      </w:r>
      <w:r>
        <w:rPr>
          <w:rFonts w:hint="eastAsia" w:ascii="宋体" w:hAnsi="宋体"/>
          <w:sz w:val="24"/>
          <w:szCs w:val="24"/>
          <w:lang w:val="en-US" w:eastAsia="zh-CN"/>
        </w:rPr>
        <w:t>同时</w:t>
      </w:r>
      <w:r>
        <w:rPr>
          <w:rFonts w:hint="eastAsia" w:ascii="宋体" w:hAnsi="宋体"/>
          <w:sz w:val="24"/>
          <w:szCs w:val="24"/>
        </w:rPr>
        <w:t>避免电化学腐蚀</w:t>
      </w:r>
      <w:r>
        <w:rPr>
          <w:rFonts w:hint="eastAsia" w:ascii="宋体" w:hAnsi="宋体"/>
          <w:sz w:val="24"/>
          <w:szCs w:val="24"/>
          <w:lang w:eastAsia="zh-CN"/>
        </w:rPr>
        <w:t>，</w:t>
      </w:r>
      <w:r>
        <w:rPr>
          <w:rFonts w:hint="eastAsia" w:ascii="宋体" w:hAnsi="宋体"/>
          <w:sz w:val="24"/>
          <w:szCs w:val="24"/>
          <w:lang w:val="en-US" w:eastAsia="zh-CN"/>
        </w:rPr>
        <w:t>因为</w:t>
      </w:r>
      <w:r>
        <w:rPr>
          <w:rFonts w:hint="eastAsia" w:ascii="宋体" w:hAnsi="宋体"/>
          <w:sz w:val="24"/>
          <w:szCs w:val="24"/>
        </w:rPr>
        <w:t>在潮湿环境中，铜、银等金属触点及焊接点易发生氧化或电化学腐蚀，长期将影响开关接触电阻和比例长期稳定性。</w:t>
      </w:r>
    </w:p>
    <w:p w14:paraId="54CCB45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为什么选择</w:t>
      </w:r>
      <w:r>
        <w:rPr>
          <w:rFonts w:hint="eastAsia" w:ascii="宋体" w:hAnsi="宋体"/>
          <w:sz w:val="24"/>
          <w:szCs w:val="24"/>
          <w:lang w:val="en-US" w:eastAsia="zh-CN"/>
        </w:rPr>
        <w:t>相对湿度小于</w:t>
      </w:r>
      <w:r>
        <w:rPr>
          <w:rFonts w:hint="eastAsia" w:ascii="宋体" w:hAnsi="宋体"/>
          <w:sz w:val="24"/>
          <w:szCs w:val="24"/>
        </w:rPr>
        <w:t>70%</w:t>
      </w:r>
      <w:r>
        <w:rPr>
          <w:rFonts w:hint="eastAsia" w:ascii="宋体" w:hAnsi="宋体"/>
          <w:sz w:val="24"/>
          <w:szCs w:val="24"/>
          <w:lang w:eastAsia="zh-CN"/>
        </w:rPr>
        <w:t>，</w:t>
      </w:r>
      <w:r>
        <w:rPr>
          <w:rFonts w:hint="eastAsia" w:ascii="宋体" w:hAnsi="宋体"/>
          <w:sz w:val="24"/>
          <w:szCs w:val="24"/>
        </w:rPr>
        <w:t>这是多数精密电测量仪器（如数字多用表、标准电阻、电流比较仪）通用的湿度上限。在 20</w:t>
      </w:r>
      <w:r>
        <w:rPr>
          <w:rFonts w:hint="eastAsia" w:ascii="宋体" w:hAnsi="宋体"/>
          <w:sz w:val="24"/>
          <w:szCs w:val="24"/>
          <w:lang w:val="en-US" w:eastAsia="zh-CN"/>
        </w:rPr>
        <w:t xml:space="preserve"> </w:t>
      </w:r>
      <w:r>
        <w:rPr>
          <w:rFonts w:hint="eastAsia" w:ascii="宋体" w:hAnsi="宋体"/>
          <w:sz w:val="24"/>
          <w:szCs w:val="24"/>
        </w:rPr>
        <w:t>℃ 时，70% RH 常规实验室通过空调或除湿机即可轻松达到。</w:t>
      </w:r>
    </w:p>
    <w:p w14:paraId="73155343">
      <w:pPr>
        <w:spacing w:after="0" w:line="360" w:lineRule="auto"/>
        <w:ind w:firstLine="480" w:firstLineChars="200"/>
        <w:rPr>
          <w:rFonts w:hint="eastAsia" w:ascii="宋体" w:hAnsi="宋体"/>
          <w:color w:val="auto"/>
          <w:sz w:val="24"/>
        </w:rPr>
      </w:pPr>
      <w:r>
        <w:rPr>
          <w:rFonts w:hint="eastAsia" w:ascii="宋体" w:hAnsi="宋体"/>
          <w:color w:val="auto"/>
          <w:sz w:val="24"/>
          <w:lang w:val="en-US" w:eastAsia="zh-CN"/>
        </w:rPr>
        <w:t>7.1</w:t>
      </w:r>
      <w:r>
        <w:rPr>
          <w:rFonts w:hint="eastAsia" w:ascii="宋体" w:hAnsi="宋体"/>
          <w:color w:val="auto"/>
          <w:sz w:val="24"/>
        </w:rPr>
        <w:t>校准项目</w:t>
      </w:r>
    </w:p>
    <w:p w14:paraId="1D1D8F96">
      <w:pPr>
        <w:spacing w:after="0" w:line="360" w:lineRule="auto"/>
        <w:ind w:firstLine="480" w:firstLineChars="200"/>
        <w:rPr>
          <w:rFonts w:hint="eastAsia" w:ascii="宋体" w:hAnsi="宋体"/>
          <w:sz w:val="24"/>
          <w:szCs w:val="24"/>
          <w:vertAlign w:val="baseline"/>
          <w:lang w:val="en-US" w:eastAsia="zh-CN"/>
        </w:rPr>
      </w:pPr>
      <w:r>
        <w:rPr>
          <w:rFonts w:hint="eastAsia" w:ascii="宋体" w:hAnsi="宋体"/>
          <w:sz w:val="24"/>
          <w:szCs w:val="24"/>
          <w:lang w:val="en-US" w:eastAsia="zh-CN"/>
        </w:rPr>
        <w:t>对直流电流比例标准进行自校准，得到其在额定电流的10%</w:t>
      </w:r>
      <w:r>
        <w:rPr>
          <w:rFonts w:hint="eastAsia" w:ascii="宋体" w:hAnsi="宋体"/>
          <w:sz w:val="24"/>
          <w:szCs w:val="24"/>
          <w:vertAlign w:val="baseline"/>
          <w:lang w:val="en-US" w:eastAsia="zh-CN"/>
        </w:rPr>
        <w:t>、2</w:t>
      </w:r>
      <w:r>
        <w:rPr>
          <w:rFonts w:hint="eastAsia" w:ascii="宋体" w:hAnsi="宋体"/>
          <w:sz w:val="24"/>
          <w:szCs w:val="24"/>
          <w:lang w:val="en-US" w:eastAsia="zh-CN"/>
        </w:rPr>
        <w:t>0%、</w:t>
      </w:r>
      <w:r>
        <w:rPr>
          <w:rFonts w:hint="eastAsia" w:ascii="宋体" w:hAnsi="宋体"/>
          <w:sz w:val="24"/>
          <w:szCs w:val="24"/>
          <w:vertAlign w:val="baseline"/>
          <w:lang w:val="en-US" w:eastAsia="zh-CN"/>
        </w:rPr>
        <w:t>50</w:t>
      </w:r>
      <w:r>
        <w:rPr>
          <w:rFonts w:hint="eastAsia" w:ascii="宋体" w:hAnsi="宋体"/>
          <w:sz w:val="24"/>
          <w:szCs w:val="24"/>
          <w:lang w:val="en-US" w:eastAsia="zh-CN"/>
        </w:rPr>
        <w:t>%</w:t>
      </w:r>
      <w:r>
        <w:rPr>
          <w:rFonts w:hint="eastAsia" w:ascii="宋体" w:hAnsi="宋体"/>
          <w:sz w:val="24"/>
          <w:szCs w:val="24"/>
          <w:vertAlign w:val="baseline"/>
          <w:lang w:val="en-US" w:eastAsia="zh-CN"/>
        </w:rPr>
        <w:t>、8</w:t>
      </w:r>
      <w:r>
        <w:rPr>
          <w:rFonts w:hint="eastAsia" w:ascii="宋体" w:hAnsi="宋体"/>
          <w:sz w:val="24"/>
          <w:szCs w:val="24"/>
          <w:lang w:val="en-US" w:eastAsia="zh-CN"/>
        </w:rPr>
        <w:t>0%及</w:t>
      </w:r>
      <w:r>
        <w:rPr>
          <w:rFonts w:hint="eastAsia" w:ascii="宋体" w:hAnsi="宋体"/>
          <w:sz w:val="24"/>
          <w:szCs w:val="24"/>
          <w:vertAlign w:val="baseline"/>
          <w:lang w:val="en-US" w:eastAsia="zh-CN"/>
        </w:rPr>
        <w:t>10</w:t>
      </w:r>
      <w:r>
        <w:rPr>
          <w:rFonts w:hint="eastAsia" w:ascii="宋体" w:hAnsi="宋体"/>
          <w:sz w:val="24"/>
          <w:szCs w:val="24"/>
          <w:lang w:val="en-US" w:eastAsia="zh-CN"/>
        </w:rPr>
        <w:t>0%</w:t>
      </w:r>
      <w:r>
        <w:rPr>
          <w:rFonts w:hint="eastAsia" w:ascii="宋体" w:hAnsi="宋体"/>
          <w:sz w:val="24"/>
          <w:szCs w:val="24"/>
          <w:vertAlign w:val="baseline"/>
          <w:lang w:val="en-US" w:eastAsia="zh-CN"/>
        </w:rPr>
        <w:t>的各测试点下的电流比例实际值。</w:t>
      </w:r>
    </w:p>
    <w:p w14:paraId="4CF62824">
      <w:pPr>
        <w:spacing w:after="0" w:line="360" w:lineRule="auto"/>
        <w:ind w:firstLine="480" w:firstLineChars="200"/>
        <w:rPr>
          <w:rFonts w:hint="eastAsia" w:ascii="宋体" w:hAnsi="宋体"/>
          <w:sz w:val="24"/>
          <w:szCs w:val="24"/>
          <w:vertAlign w:val="baseline"/>
          <w:lang w:val="en-US" w:eastAsia="zh-CN"/>
        </w:rPr>
      </w:pPr>
      <w:r>
        <w:rPr>
          <w:rFonts w:hint="eastAsia" w:ascii="宋体" w:hAnsi="宋体"/>
          <w:sz w:val="24"/>
          <w:szCs w:val="24"/>
          <w:vertAlign w:val="baseline"/>
          <w:lang w:val="en-US" w:eastAsia="zh-CN"/>
        </w:rPr>
        <w:t>本条文规定了采用串并联法原理进行自校准时，必须获取的测试点及应得到的测量结果。这样设计的目的是均匀覆盖量程，确保比例标准在整个工作区间的</w:t>
      </w:r>
      <w:r>
        <w:rPr>
          <w:rFonts w:hint="eastAsia" w:ascii="宋体" w:hAnsi="宋体" w:cs="Times New Roman"/>
          <w:sz w:val="24"/>
          <w:szCs w:val="24"/>
          <w:vertAlign w:val="baseline"/>
          <w:lang w:val="en-US" w:eastAsia="zh-CN"/>
        </w:rPr>
        <w:t>线性度、稳定性和准确度均得到验证。</w:t>
      </w:r>
    </w:p>
    <w:p w14:paraId="6D24BDB7">
      <w:pPr>
        <w:spacing w:after="0" w:line="360" w:lineRule="auto"/>
        <w:ind w:firstLine="480" w:firstLineChars="200"/>
        <w:rPr>
          <w:rFonts w:hint="eastAsia" w:ascii="宋体" w:hAnsi="宋体" w:cs="Times New Roman"/>
          <w:color w:val="auto"/>
          <w:sz w:val="24"/>
        </w:rPr>
      </w:pPr>
      <w:r>
        <w:rPr>
          <w:rFonts w:hint="eastAsia" w:ascii="宋体" w:hAnsi="宋体" w:cs="Times New Roman"/>
          <w:color w:val="auto"/>
          <w:sz w:val="24"/>
          <w:szCs w:val="24"/>
          <w:vertAlign w:val="baseline"/>
          <w:lang w:val="en-US" w:eastAsia="zh-CN"/>
        </w:rPr>
        <w:t>7.2</w:t>
      </w:r>
      <w:bookmarkStart w:id="25" w:name="_Toc15868"/>
      <w:r>
        <w:rPr>
          <w:rFonts w:hint="eastAsia" w:ascii="宋体" w:hAnsi="宋体" w:cs="Times New Roman"/>
          <w:color w:val="auto"/>
          <w:sz w:val="24"/>
        </w:rPr>
        <w:t>校准方法</w:t>
      </w:r>
      <w:bookmarkEnd w:id="25"/>
    </w:p>
    <w:p w14:paraId="783B0D0D">
      <w:pPr>
        <w:spacing w:after="0" w:line="360" w:lineRule="auto"/>
        <w:ind w:firstLine="480" w:firstLineChars="200"/>
        <w:jc w:val="distribute"/>
        <w:rPr>
          <w:rFonts w:hint="eastAsia" w:ascii="宋体" w:hAnsi="宋体"/>
          <w:sz w:val="24"/>
          <w:szCs w:val="24"/>
          <w:vertAlign w:val="baseline"/>
          <w:lang w:val="en-US" w:eastAsia="zh-CN"/>
        </w:rPr>
      </w:pPr>
      <w:r>
        <w:rPr>
          <w:rFonts w:hint="eastAsia" w:ascii="宋体" w:hAnsi="宋体"/>
          <w:sz w:val="24"/>
          <w:szCs w:val="24"/>
          <w:vertAlign w:val="baseline"/>
          <w:lang w:val="en-US" w:eastAsia="zh-CN"/>
        </w:rPr>
        <w:t>本条文规定了采用串并联法原理进行自校准时，校准包括1：1自校准和</w:t>
      </w:r>
    </w:p>
    <w:p w14:paraId="4F5E856F">
      <w:pPr>
        <w:spacing w:after="0" w:line="360" w:lineRule="auto"/>
        <w:rPr>
          <w:rFonts w:hint="default" w:ascii="宋体" w:hAnsi="宋体"/>
          <w:sz w:val="24"/>
          <w:szCs w:val="24"/>
          <w:vertAlign w:val="baseline"/>
          <w:lang w:val="en-US" w:eastAsia="zh-CN"/>
        </w:rPr>
      </w:pPr>
      <w:r>
        <w:rPr>
          <w:rFonts w:hint="eastAsia" w:ascii="宋体" w:hAnsi="宋体"/>
          <w:sz w:val="24"/>
          <w:szCs w:val="24"/>
          <w:vertAlign w:val="baseline"/>
          <w:lang w:val="en-US" w:eastAsia="zh-CN"/>
        </w:rPr>
        <w:t>n：1同标称值比较。</w:t>
      </w:r>
    </w:p>
    <w:p w14:paraId="5F407EA2">
      <w:pPr>
        <w:numPr>
          <w:ilvl w:val="0"/>
          <w:numId w:val="5"/>
        </w:numPr>
        <w:spacing w:after="0" w:line="360" w:lineRule="auto"/>
        <w:ind w:firstLine="480" w:firstLineChars="200"/>
        <w:rPr>
          <w:rFonts w:hint="eastAsia" w:ascii="宋体" w:hAnsi="宋体"/>
          <w:color w:val="auto"/>
          <w:sz w:val="24"/>
        </w:rPr>
      </w:pPr>
      <w:r>
        <w:rPr>
          <w:rFonts w:hint="eastAsia" w:ascii="宋体" w:hAnsi="宋体"/>
          <w:color w:val="auto"/>
          <w:sz w:val="24"/>
        </w:rPr>
        <w:t>建议复校时间间隔为</w:t>
      </w:r>
      <w:r>
        <w:rPr>
          <w:rFonts w:hint="eastAsia" w:ascii="宋体" w:hAnsi="宋体"/>
          <w:color w:val="auto"/>
          <w:sz w:val="24"/>
          <w:lang w:val="en-US" w:eastAsia="zh-CN"/>
        </w:rPr>
        <w:t>1</w:t>
      </w:r>
      <w:r>
        <w:rPr>
          <w:rFonts w:hint="eastAsia" w:ascii="宋体" w:hAnsi="宋体"/>
          <w:color w:val="auto"/>
          <w:sz w:val="24"/>
        </w:rPr>
        <w:t>年。</w:t>
      </w:r>
    </w:p>
    <w:p w14:paraId="0824398E">
      <w:pPr>
        <w:numPr>
          <w:ilvl w:val="0"/>
          <w:numId w:val="0"/>
        </w:numPr>
        <w:spacing w:after="0" w:line="360" w:lineRule="auto"/>
        <w:rPr>
          <w:rFonts w:hint="eastAsia" w:ascii="宋体" w:hAnsi="宋体"/>
          <w:color w:val="auto"/>
          <w:sz w:val="24"/>
          <w:lang w:val="en-US" w:eastAsia="zh-CN"/>
        </w:rPr>
      </w:pPr>
      <w:r>
        <w:rPr>
          <w:rFonts w:hint="eastAsia" w:ascii="宋体" w:hAnsi="宋体"/>
          <w:color w:val="auto"/>
          <w:sz w:val="24"/>
          <w:lang w:val="en-US" w:eastAsia="zh-CN"/>
        </w:rPr>
        <w:t xml:space="preserve">     本条文规定了采用串并联法原理的直流电流比例标准装置在完成自校准后，推荐的再次校准的时间间隔。</w:t>
      </w:r>
    </w:p>
    <w:p w14:paraId="4586BBFE">
      <w:pPr>
        <w:numPr>
          <w:ilvl w:val="0"/>
          <w:numId w:val="0"/>
        </w:numPr>
        <w:spacing w:after="0" w:line="360" w:lineRule="auto"/>
        <w:ind w:firstLine="240" w:firstLineChars="100"/>
        <w:rPr>
          <w:rFonts w:hint="eastAsia" w:ascii="宋体" w:hAnsi="宋体"/>
          <w:color w:val="auto"/>
          <w:sz w:val="24"/>
          <w:lang w:val="en-US" w:eastAsia="zh-CN"/>
        </w:rPr>
      </w:pPr>
      <w:r>
        <w:rPr>
          <w:rFonts w:hint="eastAsia" w:ascii="宋体" w:hAnsi="宋体"/>
          <w:color w:val="auto"/>
          <w:sz w:val="24"/>
          <w:lang w:val="en-US" w:eastAsia="zh-CN"/>
        </w:rPr>
        <w:t xml:space="preserve">   将复校间隔建议设为1年，主要基于装置稳定性和使用与环境影响。</w:t>
      </w:r>
    </w:p>
    <w:p w14:paraId="73E29AAB">
      <w:pPr>
        <w:numPr>
          <w:ilvl w:val="0"/>
          <w:numId w:val="0"/>
        </w:numPr>
        <w:spacing w:after="0" w:line="360" w:lineRule="auto"/>
        <w:ind w:firstLine="240" w:firstLineChars="100"/>
        <w:rPr>
          <w:rFonts w:hint="eastAsia" w:ascii="宋体" w:hAnsi="宋体"/>
          <w:color w:val="auto"/>
          <w:sz w:val="24"/>
          <w:lang w:val="en-US" w:eastAsia="zh-CN"/>
        </w:rPr>
      </w:pPr>
      <w:r>
        <w:rPr>
          <w:rFonts w:hint="eastAsia" w:ascii="宋体" w:hAnsi="宋体"/>
          <w:color w:val="auto"/>
          <w:sz w:val="24"/>
          <w:lang w:val="en-US" w:eastAsia="zh-CN"/>
        </w:rPr>
        <w:t xml:space="preserve">   装置稳定性：直流电流比例标准装置在正常使用条件下，其长期漂移通常在一个日历年内不超过装置最大允许误差的1/5</w:t>
      </w:r>
      <w:r>
        <w:rPr>
          <w:rFonts w:hint="default" w:ascii="Times New Roman" w:hAnsi="Times New Roman" w:cs="Times New Roman"/>
          <w:color w:val="auto"/>
          <w:sz w:val="24"/>
          <w:lang w:val="en-US" w:eastAsia="zh-CN"/>
        </w:rPr>
        <w:t>~</w:t>
      </w:r>
      <w:r>
        <w:rPr>
          <w:rFonts w:hint="eastAsia" w:ascii="宋体" w:hAnsi="宋体"/>
          <w:color w:val="auto"/>
          <w:sz w:val="24"/>
          <w:lang w:val="en-US" w:eastAsia="zh-CN"/>
        </w:rPr>
        <w:t>1/3。1年是经过大量实践验证的、能有效监控其计量性能变化的合理周期。</w:t>
      </w:r>
    </w:p>
    <w:p w14:paraId="1069ABF2">
      <w:pPr>
        <w:numPr>
          <w:ilvl w:val="0"/>
          <w:numId w:val="0"/>
        </w:numPr>
        <w:spacing w:after="0" w:line="360" w:lineRule="auto"/>
        <w:rPr>
          <w:rFonts w:hint="eastAsia" w:ascii="宋体" w:hAnsi="宋体"/>
          <w:color w:val="auto"/>
          <w:sz w:val="24"/>
          <w:lang w:val="en-US" w:eastAsia="zh-CN"/>
        </w:rPr>
      </w:pPr>
      <w:r>
        <w:rPr>
          <w:rFonts w:hint="eastAsia" w:ascii="宋体" w:hAnsi="宋体"/>
          <w:color w:val="auto"/>
          <w:sz w:val="24"/>
          <w:lang w:val="en-US" w:eastAsia="zh-CN"/>
        </w:rPr>
        <w:t xml:space="preserve">     使用与环境影响：即使装置在受控实验室环境下使用，温度循环、湿度变化、机械振动及开关磨损等因素仍会缓慢改变其比例特性。1年周期可覆盖季节性环境变化的影响。</w:t>
      </w:r>
    </w:p>
    <w:p w14:paraId="302E8C2C">
      <w:pPr>
        <w:spacing w:after="0" w:line="360" w:lineRule="auto"/>
        <w:ind w:firstLine="480" w:firstLineChars="200"/>
        <w:rPr>
          <w:rFonts w:ascii="宋体" w:hAnsi="宋体"/>
          <w:color w:val="auto"/>
          <w:sz w:val="24"/>
        </w:rPr>
      </w:pPr>
      <w:r>
        <w:rPr>
          <w:rFonts w:hint="eastAsia" w:ascii="宋体" w:hAnsi="宋体"/>
          <w:color w:val="auto"/>
          <w:sz w:val="24"/>
          <w:lang w:val="en-US" w:eastAsia="zh-CN"/>
        </w:rPr>
        <w:t>直流电流比例标准装置的核心部件为磁调制式电流比较仪，其比例误差的长期稳定性是决定复校间隔的关键因素。根据中国计量科学研究院多台0.001级直流电流比例标准装置2年的稳定性考核数据表明，年变化量小于最大允许误差的1/3。同时参考了现行同类计量技术规范和结合直流电流比例的自身特点。因此，1年复校的时间间隔能够在保证量值溯源连续性的同时，兼顾使用单位的运维成本、使用条件、现行规范协调性及国际比对经验，能够有效保证量值传递的准确性和可靠性。</w:t>
      </w:r>
    </w:p>
    <w:p w14:paraId="2DB5E828">
      <w:pPr>
        <w:pStyle w:val="11"/>
        <w:numPr>
          <w:ilvl w:val="0"/>
          <w:numId w:val="0"/>
        </w:numPr>
        <w:spacing w:before="156" w:beforeLines="50" w:after="0" w:line="500" w:lineRule="exact"/>
        <w:jc w:val="left"/>
      </w:pPr>
      <w:r>
        <w:rPr>
          <w:rFonts w:hint="eastAsia"/>
          <w:sz w:val="28"/>
          <w:szCs w:val="28"/>
          <w:lang w:val="en-US" w:eastAsia="zh-CN"/>
        </w:rPr>
        <w:t>九、</w:t>
      </w:r>
      <w:r>
        <w:rPr>
          <w:rFonts w:hint="eastAsia"/>
          <w:sz w:val="28"/>
          <w:szCs w:val="28"/>
        </w:rPr>
        <w:t>其他应当说明的事项。</w:t>
      </w:r>
    </w:p>
    <w:bookmarkEnd w:id="24"/>
    <w:p w14:paraId="1555B7A3">
      <w:pPr>
        <w:spacing w:after="0" w:line="360" w:lineRule="auto"/>
        <w:ind w:firstLine="480" w:firstLineChars="200"/>
        <w:rPr>
          <w:rFonts w:ascii="宋体" w:hAnsi="宋体"/>
          <w:b/>
          <w:bCs/>
          <w:sz w:val="24"/>
        </w:rPr>
      </w:pPr>
      <w:r>
        <w:rPr>
          <w:rFonts w:hint="eastAsia" w:ascii="宋体" w:hAnsi="宋体"/>
          <w:sz w:val="24"/>
        </w:rPr>
        <w:t>无。</w:t>
      </w:r>
    </w:p>
    <w:bookmarkEnd w:id="8"/>
    <w:p w14:paraId="59A20835"/>
    <w:sectPr>
      <w:headerReference r:id="rId5" w:type="default"/>
      <w:footerReference r:id="rId6" w:type="default"/>
      <w:pgSz w:w="11906" w:h="16838"/>
      <w:pgMar w:top="1440" w:right="1800" w:bottom="1440" w:left="1800" w:header="851" w:footer="567" w:gutter="0"/>
      <w:pgNumType w:fmt="numberInDash" w:start="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0334049"/>
      <w:docPartObj>
        <w:docPartGallery w:val="autotext"/>
      </w:docPartObj>
    </w:sdtPr>
    <w:sdtEndPr>
      <w:rPr>
        <w:rFonts w:ascii="宋体" w:hAnsi="宋体"/>
        <w:sz w:val="24"/>
        <w:szCs w:val="24"/>
      </w:rPr>
    </w:sdtEndPr>
    <w:sdtContent>
      <w:p w14:paraId="457A16DF">
        <w:pPr>
          <w:pStyle w:val="8"/>
          <w:jc w:val="center"/>
          <w:rPr>
            <w:rFonts w:ascii="宋体" w:hAnsi="宋体"/>
            <w:sz w:val="24"/>
            <w:szCs w:val="24"/>
          </w:rPr>
        </w:pPr>
        <w:r>
          <w:rPr>
            <w:rFonts w:ascii="宋体" w:hAnsi="宋体"/>
            <w:sz w:val="24"/>
            <w:szCs w:val="24"/>
          </w:rPr>
          <w:fldChar w:fldCharType="begin"/>
        </w:r>
        <w:r>
          <w:rPr>
            <w:rFonts w:ascii="宋体" w:hAnsi="宋体"/>
            <w:sz w:val="24"/>
            <w:szCs w:val="24"/>
          </w:rPr>
          <w:instrText xml:space="preserve">PAGE   \* MERGEFORMAT</w:instrText>
        </w:r>
        <w:r>
          <w:rPr>
            <w:rFonts w:ascii="宋体" w:hAnsi="宋体"/>
            <w:sz w:val="24"/>
            <w:szCs w:val="24"/>
          </w:rPr>
          <w:fldChar w:fldCharType="separate"/>
        </w:r>
        <w:r>
          <w:rPr>
            <w:rFonts w:ascii="宋体" w:hAnsi="宋体"/>
            <w:sz w:val="24"/>
            <w:szCs w:val="24"/>
            <w:lang w:val="zh-CN"/>
          </w:rPr>
          <w:t>2</w:t>
        </w:r>
        <w:r>
          <w:rPr>
            <w:rFonts w:ascii="宋体" w:hAnsi="宋体"/>
            <w:sz w:val="24"/>
            <w:szCs w:val="24"/>
          </w:rPr>
          <w:fldChar w:fldCharType="end"/>
        </w:r>
      </w:p>
    </w:sdtContent>
  </w:sdt>
  <w:p w14:paraId="0DDFB8FD">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5AA26">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51BF3"/>
    <w:multiLevelType w:val="singleLevel"/>
    <w:tmpl w:val="C0851BF3"/>
    <w:lvl w:ilvl="0" w:tentative="0">
      <w:start w:val="9"/>
      <w:numFmt w:val="decimal"/>
      <w:lvlText w:val="%1."/>
      <w:lvlJc w:val="left"/>
      <w:pPr>
        <w:tabs>
          <w:tab w:val="left" w:pos="312"/>
        </w:tabs>
      </w:pPr>
    </w:lvl>
  </w:abstractNum>
  <w:abstractNum w:abstractNumId="1">
    <w:nsid w:val="F9317656"/>
    <w:multiLevelType w:val="singleLevel"/>
    <w:tmpl w:val="F9317656"/>
    <w:lvl w:ilvl="0" w:tentative="0">
      <w:start w:val="2"/>
      <w:numFmt w:val="chineseCounting"/>
      <w:suff w:val="nothing"/>
      <w:lvlText w:val="（%1）"/>
      <w:lvlJc w:val="left"/>
      <w:rPr>
        <w:rFonts w:hint="eastAsia"/>
      </w:rPr>
    </w:lvl>
  </w:abstractNum>
  <w:abstractNum w:abstractNumId="2">
    <w:nsid w:val="02FF32A3"/>
    <w:multiLevelType w:val="multilevel"/>
    <w:tmpl w:val="02FF32A3"/>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C827919"/>
    <w:multiLevelType w:val="singleLevel"/>
    <w:tmpl w:val="1C827919"/>
    <w:lvl w:ilvl="0" w:tentative="0">
      <w:start w:val="4"/>
      <w:numFmt w:val="chineseCounting"/>
      <w:suff w:val="nothing"/>
      <w:lvlText w:val="%1、"/>
      <w:lvlJc w:val="left"/>
      <w:rPr>
        <w:rFonts w:hint="eastAsia"/>
      </w:rPr>
    </w:lvl>
  </w:abstractNum>
  <w:abstractNum w:abstractNumId="4">
    <w:nsid w:val="36A930FD"/>
    <w:multiLevelType w:val="multilevel"/>
    <w:tmpl w:val="36A930FD"/>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414D4E"/>
    <w:rsid w:val="000318D6"/>
    <w:rsid w:val="000351FF"/>
    <w:rsid w:val="00037327"/>
    <w:rsid w:val="00052437"/>
    <w:rsid w:val="00071E23"/>
    <w:rsid w:val="00076F7C"/>
    <w:rsid w:val="00077C52"/>
    <w:rsid w:val="00083283"/>
    <w:rsid w:val="000910A0"/>
    <w:rsid w:val="00093419"/>
    <w:rsid w:val="00097FBD"/>
    <w:rsid w:val="000A093F"/>
    <w:rsid w:val="000A125E"/>
    <w:rsid w:val="000B0C66"/>
    <w:rsid w:val="000B295B"/>
    <w:rsid w:val="000D050F"/>
    <w:rsid w:val="000D5433"/>
    <w:rsid w:val="000E18AE"/>
    <w:rsid w:val="000E337D"/>
    <w:rsid w:val="000F0246"/>
    <w:rsid w:val="000F2087"/>
    <w:rsid w:val="000F2BA8"/>
    <w:rsid w:val="000F6B94"/>
    <w:rsid w:val="00110142"/>
    <w:rsid w:val="00110B43"/>
    <w:rsid w:val="001329BC"/>
    <w:rsid w:val="001625FA"/>
    <w:rsid w:val="00164464"/>
    <w:rsid w:val="0016627B"/>
    <w:rsid w:val="00175B5D"/>
    <w:rsid w:val="00186BF0"/>
    <w:rsid w:val="00186FF0"/>
    <w:rsid w:val="00187961"/>
    <w:rsid w:val="00187994"/>
    <w:rsid w:val="001A3AA7"/>
    <w:rsid w:val="001B122D"/>
    <w:rsid w:val="001B3421"/>
    <w:rsid w:val="001B7CB7"/>
    <w:rsid w:val="001C247B"/>
    <w:rsid w:val="001C6445"/>
    <w:rsid w:val="001F1F30"/>
    <w:rsid w:val="00203242"/>
    <w:rsid w:val="00206BFC"/>
    <w:rsid w:val="00211179"/>
    <w:rsid w:val="002123C8"/>
    <w:rsid w:val="00223DDB"/>
    <w:rsid w:val="00233C3C"/>
    <w:rsid w:val="00236F1D"/>
    <w:rsid w:val="00242C6F"/>
    <w:rsid w:val="002472C7"/>
    <w:rsid w:val="002570B5"/>
    <w:rsid w:val="002616D3"/>
    <w:rsid w:val="002624A9"/>
    <w:rsid w:val="002627C3"/>
    <w:rsid w:val="002655C6"/>
    <w:rsid w:val="00265ED4"/>
    <w:rsid w:val="002747B0"/>
    <w:rsid w:val="00287C0D"/>
    <w:rsid w:val="002A533A"/>
    <w:rsid w:val="002B13B9"/>
    <w:rsid w:val="002B5C3E"/>
    <w:rsid w:val="002C330F"/>
    <w:rsid w:val="002E56FD"/>
    <w:rsid w:val="002F06DE"/>
    <w:rsid w:val="002F6EFA"/>
    <w:rsid w:val="00311449"/>
    <w:rsid w:val="00333B0C"/>
    <w:rsid w:val="0033464F"/>
    <w:rsid w:val="00343360"/>
    <w:rsid w:val="00351B4E"/>
    <w:rsid w:val="00374D58"/>
    <w:rsid w:val="00382C68"/>
    <w:rsid w:val="003927B2"/>
    <w:rsid w:val="00394273"/>
    <w:rsid w:val="003A29A1"/>
    <w:rsid w:val="003B57F0"/>
    <w:rsid w:val="003C31C3"/>
    <w:rsid w:val="003C525D"/>
    <w:rsid w:val="003C6938"/>
    <w:rsid w:val="003D48B8"/>
    <w:rsid w:val="003E0E61"/>
    <w:rsid w:val="003F5A31"/>
    <w:rsid w:val="00402F0E"/>
    <w:rsid w:val="004043BF"/>
    <w:rsid w:val="00414D4E"/>
    <w:rsid w:val="0042249D"/>
    <w:rsid w:val="00435B37"/>
    <w:rsid w:val="00443892"/>
    <w:rsid w:val="0044506F"/>
    <w:rsid w:val="004460F1"/>
    <w:rsid w:val="00446500"/>
    <w:rsid w:val="004503FA"/>
    <w:rsid w:val="00480559"/>
    <w:rsid w:val="0048458B"/>
    <w:rsid w:val="00491BC4"/>
    <w:rsid w:val="00493EF5"/>
    <w:rsid w:val="004A1589"/>
    <w:rsid w:val="004B4E46"/>
    <w:rsid w:val="004C392A"/>
    <w:rsid w:val="004D4962"/>
    <w:rsid w:val="004E317E"/>
    <w:rsid w:val="004F3C3C"/>
    <w:rsid w:val="00500138"/>
    <w:rsid w:val="00517785"/>
    <w:rsid w:val="00535A71"/>
    <w:rsid w:val="00535BFB"/>
    <w:rsid w:val="0054170E"/>
    <w:rsid w:val="0054601A"/>
    <w:rsid w:val="00552AD0"/>
    <w:rsid w:val="00563274"/>
    <w:rsid w:val="0056636F"/>
    <w:rsid w:val="00581E35"/>
    <w:rsid w:val="005839C9"/>
    <w:rsid w:val="005840DF"/>
    <w:rsid w:val="005B1872"/>
    <w:rsid w:val="005B79DE"/>
    <w:rsid w:val="005B7D8B"/>
    <w:rsid w:val="005C7B2B"/>
    <w:rsid w:val="005D700A"/>
    <w:rsid w:val="005D7E30"/>
    <w:rsid w:val="005E160E"/>
    <w:rsid w:val="005F0706"/>
    <w:rsid w:val="005F545E"/>
    <w:rsid w:val="0063196C"/>
    <w:rsid w:val="006518E7"/>
    <w:rsid w:val="00654924"/>
    <w:rsid w:val="0068450C"/>
    <w:rsid w:val="006860A3"/>
    <w:rsid w:val="00690ACA"/>
    <w:rsid w:val="0069391E"/>
    <w:rsid w:val="006D3788"/>
    <w:rsid w:val="006D6E64"/>
    <w:rsid w:val="006F5C3B"/>
    <w:rsid w:val="00701F33"/>
    <w:rsid w:val="00702188"/>
    <w:rsid w:val="00740CFF"/>
    <w:rsid w:val="00745FE3"/>
    <w:rsid w:val="0075563A"/>
    <w:rsid w:val="00760535"/>
    <w:rsid w:val="007621BE"/>
    <w:rsid w:val="00762C53"/>
    <w:rsid w:val="00766998"/>
    <w:rsid w:val="007706B8"/>
    <w:rsid w:val="007726F8"/>
    <w:rsid w:val="007759E0"/>
    <w:rsid w:val="007763C6"/>
    <w:rsid w:val="00776D82"/>
    <w:rsid w:val="00780407"/>
    <w:rsid w:val="007827A0"/>
    <w:rsid w:val="007925CF"/>
    <w:rsid w:val="007930A8"/>
    <w:rsid w:val="007936F7"/>
    <w:rsid w:val="00793C84"/>
    <w:rsid w:val="007B50E1"/>
    <w:rsid w:val="007C6CC0"/>
    <w:rsid w:val="007F2C8D"/>
    <w:rsid w:val="007F38EC"/>
    <w:rsid w:val="00800262"/>
    <w:rsid w:val="00800B11"/>
    <w:rsid w:val="00800E15"/>
    <w:rsid w:val="008106C6"/>
    <w:rsid w:val="00812073"/>
    <w:rsid w:val="00822490"/>
    <w:rsid w:val="008349D8"/>
    <w:rsid w:val="008369AE"/>
    <w:rsid w:val="00847AB6"/>
    <w:rsid w:val="00847FAD"/>
    <w:rsid w:val="00851FBE"/>
    <w:rsid w:val="0086345F"/>
    <w:rsid w:val="00867CE2"/>
    <w:rsid w:val="00872C32"/>
    <w:rsid w:val="0087608F"/>
    <w:rsid w:val="00882041"/>
    <w:rsid w:val="00883FAD"/>
    <w:rsid w:val="008947B8"/>
    <w:rsid w:val="008A27AF"/>
    <w:rsid w:val="008A68C5"/>
    <w:rsid w:val="008D251D"/>
    <w:rsid w:val="008D7550"/>
    <w:rsid w:val="008E4B00"/>
    <w:rsid w:val="009060FE"/>
    <w:rsid w:val="0091296B"/>
    <w:rsid w:val="00920ECF"/>
    <w:rsid w:val="009221CC"/>
    <w:rsid w:val="009254AE"/>
    <w:rsid w:val="00926822"/>
    <w:rsid w:val="009334CD"/>
    <w:rsid w:val="009409BB"/>
    <w:rsid w:val="00946462"/>
    <w:rsid w:val="00973F93"/>
    <w:rsid w:val="009940AB"/>
    <w:rsid w:val="009A3C6F"/>
    <w:rsid w:val="009A7E80"/>
    <w:rsid w:val="009B1E16"/>
    <w:rsid w:val="009B78C6"/>
    <w:rsid w:val="009B79D0"/>
    <w:rsid w:val="009C4159"/>
    <w:rsid w:val="009C6720"/>
    <w:rsid w:val="009E0547"/>
    <w:rsid w:val="009E7619"/>
    <w:rsid w:val="009F042E"/>
    <w:rsid w:val="009F331D"/>
    <w:rsid w:val="00A05DD8"/>
    <w:rsid w:val="00A07272"/>
    <w:rsid w:val="00A137C6"/>
    <w:rsid w:val="00A26DD0"/>
    <w:rsid w:val="00A26FF7"/>
    <w:rsid w:val="00A27199"/>
    <w:rsid w:val="00A31D23"/>
    <w:rsid w:val="00A4337B"/>
    <w:rsid w:val="00A45D3E"/>
    <w:rsid w:val="00A6498A"/>
    <w:rsid w:val="00A73C02"/>
    <w:rsid w:val="00A74E58"/>
    <w:rsid w:val="00A87CFA"/>
    <w:rsid w:val="00A95A9A"/>
    <w:rsid w:val="00A97A52"/>
    <w:rsid w:val="00AA3AD7"/>
    <w:rsid w:val="00AB71FA"/>
    <w:rsid w:val="00AC3F66"/>
    <w:rsid w:val="00AD4F58"/>
    <w:rsid w:val="00AF3EE0"/>
    <w:rsid w:val="00B00ADC"/>
    <w:rsid w:val="00B0489E"/>
    <w:rsid w:val="00B25F97"/>
    <w:rsid w:val="00B445A5"/>
    <w:rsid w:val="00B45866"/>
    <w:rsid w:val="00B52ECC"/>
    <w:rsid w:val="00B60B17"/>
    <w:rsid w:val="00B738F0"/>
    <w:rsid w:val="00B863AA"/>
    <w:rsid w:val="00B919DD"/>
    <w:rsid w:val="00BA3776"/>
    <w:rsid w:val="00BA4E80"/>
    <w:rsid w:val="00BA60AE"/>
    <w:rsid w:val="00BA7F5A"/>
    <w:rsid w:val="00BC0A95"/>
    <w:rsid w:val="00BC2832"/>
    <w:rsid w:val="00BC7BB4"/>
    <w:rsid w:val="00BE773D"/>
    <w:rsid w:val="00BF3885"/>
    <w:rsid w:val="00BF6E42"/>
    <w:rsid w:val="00C06631"/>
    <w:rsid w:val="00C07E3F"/>
    <w:rsid w:val="00C40702"/>
    <w:rsid w:val="00C4665A"/>
    <w:rsid w:val="00C666CD"/>
    <w:rsid w:val="00C73DA1"/>
    <w:rsid w:val="00C906A1"/>
    <w:rsid w:val="00C9515A"/>
    <w:rsid w:val="00CC2857"/>
    <w:rsid w:val="00CC6322"/>
    <w:rsid w:val="00CE2695"/>
    <w:rsid w:val="00CE6744"/>
    <w:rsid w:val="00D13BFB"/>
    <w:rsid w:val="00D2238A"/>
    <w:rsid w:val="00D34E12"/>
    <w:rsid w:val="00D40499"/>
    <w:rsid w:val="00D46B92"/>
    <w:rsid w:val="00D54115"/>
    <w:rsid w:val="00D71D3D"/>
    <w:rsid w:val="00D722B8"/>
    <w:rsid w:val="00D80AC4"/>
    <w:rsid w:val="00DB4AE8"/>
    <w:rsid w:val="00DC696D"/>
    <w:rsid w:val="00DE7D20"/>
    <w:rsid w:val="00E1532F"/>
    <w:rsid w:val="00E20C92"/>
    <w:rsid w:val="00E35F8B"/>
    <w:rsid w:val="00E35FA0"/>
    <w:rsid w:val="00E6553E"/>
    <w:rsid w:val="00E81D99"/>
    <w:rsid w:val="00E838FE"/>
    <w:rsid w:val="00E90C04"/>
    <w:rsid w:val="00E930D8"/>
    <w:rsid w:val="00EA0C92"/>
    <w:rsid w:val="00EA534D"/>
    <w:rsid w:val="00EB4A3F"/>
    <w:rsid w:val="00EB708D"/>
    <w:rsid w:val="00EB73F4"/>
    <w:rsid w:val="00ED0723"/>
    <w:rsid w:val="00ED11A9"/>
    <w:rsid w:val="00ED141E"/>
    <w:rsid w:val="00ED1431"/>
    <w:rsid w:val="00ED2012"/>
    <w:rsid w:val="00EE0979"/>
    <w:rsid w:val="00EE5A61"/>
    <w:rsid w:val="00EF1437"/>
    <w:rsid w:val="00EF7950"/>
    <w:rsid w:val="00F00998"/>
    <w:rsid w:val="00F02B36"/>
    <w:rsid w:val="00F3189E"/>
    <w:rsid w:val="00F32CF2"/>
    <w:rsid w:val="00F33DB0"/>
    <w:rsid w:val="00F42F85"/>
    <w:rsid w:val="00F62DB2"/>
    <w:rsid w:val="00F75E1B"/>
    <w:rsid w:val="00F819F4"/>
    <w:rsid w:val="00F93277"/>
    <w:rsid w:val="00FA0456"/>
    <w:rsid w:val="00FC49CC"/>
    <w:rsid w:val="00FC4E32"/>
    <w:rsid w:val="00FE0246"/>
    <w:rsid w:val="01192C1F"/>
    <w:rsid w:val="011B7065"/>
    <w:rsid w:val="01543C57"/>
    <w:rsid w:val="01657C13"/>
    <w:rsid w:val="01787946"/>
    <w:rsid w:val="01A249C3"/>
    <w:rsid w:val="01BD7A4F"/>
    <w:rsid w:val="01D6734A"/>
    <w:rsid w:val="01EE7C08"/>
    <w:rsid w:val="021B0634"/>
    <w:rsid w:val="02397B81"/>
    <w:rsid w:val="027125E7"/>
    <w:rsid w:val="029850CE"/>
    <w:rsid w:val="03345AEF"/>
    <w:rsid w:val="0389717E"/>
    <w:rsid w:val="03C7397B"/>
    <w:rsid w:val="03E72B61"/>
    <w:rsid w:val="044E2BE0"/>
    <w:rsid w:val="04D72BD5"/>
    <w:rsid w:val="05107E95"/>
    <w:rsid w:val="0542363A"/>
    <w:rsid w:val="055E593B"/>
    <w:rsid w:val="056854CB"/>
    <w:rsid w:val="05DB4B20"/>
    <w:rsid w:val="05EA4B8A"/>
    <w:rsid w:val="05EA6938"/>
    <w:rsid w:val="05EE7CFE"/>
    <w:rsid w:val="06364928"/>
    <w:rsid w:val="064C13A1"/>
    <w:rsid w:val="06C60086"/>
    <w:rsid w:val="0781151E"/>
    <w:rsid w:val="086965D1"/>
    <w:rsid w:val="08BB280E"/>
    <w:rsid w:val="08D61A76"/>
    <w:rsid w:val="08DC54F9"/>
    <w:rsid w:val="08DF64FD"/>
    <w:rsid w:val="08E04023"/>
    <w:rsid w:val="08EE04EE"/>
    <w:rsid w:val="09523172"/>
    <w:rsid w:val="095D5673"/>
    <w:rsid w:val="0963177C"/>
    <w:rsid w:val="097F383C"/>
    <w:rsid w:val="09886B94"/>
    <w:rsid w:val="0A341F7E"/>
    <w:rsid w:val="0A4610D0"/>
    <w:rsid w:val="0A4F1460"/>
    <w:rsid w:val="0A5847B8"/>
    <w:rsid w:val="0A621193"/>
    <w:rsid w:val="0ABD2523"/>
    <w:rsid w:val="0ADF27E4"/>
    <w:rsid w:val="0AF3628F"/>
    <w:rsid w:val="0B161F7E"/>
    <w:rsid w:val="0B41524D"/>
    <w:rsid w:val="0B481C4F"/>
    <w:rsid w:val="0BD51096"/>
    <w:rsid w:val="0C6D0CE9"/>
    <w:rsid w:val="0C7C1710"/>
    <w:rsid w:val="0CA37841"/>
    <w:rsid w:val="0CA535B9"/>
    <w:rsid w:val="0D0227BA"/>
    <w:rsid w:val="0E15651D"/>
    <w:rsid w:val="0E44756A"/>
    <w:rsid w:val="0E460DCC"/>
    <w:rsid w:val="0EA31D7A"/>
    <w:rsid w:val="0EC30B46"/>
    <w:rsid w:val="0FA82C21"/>
    <w:rsid w:val="0FB81855"/>
    <w:rsid w:val="0FEB2FFC"/>
    <w:rsid w:val="0FF87354"/>
    <w:rsid w:val="10022AD1"/>
    <w:rsid w:val="10A71005"/>
    <w:rsid w:val="10D26947"/>
    <w:rsid w:val="10DA645D"/>
    <w:rsid w:val="10DD5A17"/>
    <w:rsid w:val="10EC7A09"/>
    <w:rsid w:val="112D5021"/>
    <w:rsid w:val="113621FF"/>
    <w:rsid w:val="115E4793"/>
    <w:rsid w:val="11930964"/>
    <w:rsid w:val="11B47A33"/>
    <w:rsid w:val="11F56D91"/>
    <w:rsid w:val="12371157"/>
    <w:rsid w:val="12CE3AAE"/>
    <w:rsid w:val="12CF313E"/>
    <w:rsid w:val="12E070F9"/>
    <w:rsid w:val="12F40DF6"/>
    <w:rsid w:val="13086525"/>
    <w:rsid w:val="13394A5B"/>
    <w:rsid w:val="13623FB2"/>
    <w:rsid w:val="13833F28"/>
    <w:rsid w:val="13CC1D73"/>
    <w:rsid w:val="13CE33F5"/>
    <w:rsid w:val="13D84274"/>
    <w:rsid w:val="14B24F35"/>
    <w:rsid w:val="14E31122"/>
    <w:rsid w:val="15026E36"/>
    <w:rsid w:val="15196FAC"/>
    <w:rsid w:val="15311E8E"/>
    <w:rsid w:val="1542409B"/>
    <w:rsid w:val="15510782"/>
    <w:rsid w:val="15875F52"/>
    <w:rsid w:val="16034CBC"/>
    <w:rsid w:val="162437A1"/>
    <w:rsid w:val="16557DFE"/>
    <w:rsid w:val="165C118C"/>
    <w:rsid w:val="165C1472"/>
    <w:rsid w:val="169528F0"/>
    <w:rsid w:val="16AB13CB"/>
    <w:rsid w:val="16ED44DA"/>
    <w:rsid w:val="172A4DE7"/>
    <w:rsid w:val="17386D59"/>
    <w:rsid w:val="176522C3"/>
    <w:rsid w:val="178A7F7B"/>
    <w:rsid w:val="179130B8"/>
    <w:rsid w:val="17D82143"/>
    <w:rsid w:val="18624A54"/>
    <w:rsid w:val="18697A48"/>
    <w:rsid w:val="18C33745"/>
    <w:rsid w:val="19600F94"/>
    <w:rsid w:val="19670331"/>
    <w:rsid w:val="199926F8"/>
    <w:rsid w:val="19BD0194"/>
    <w:rsid w:val="19D11E91"/>
    <w:rsid w:val="19DC6EA7"/>
    <w:rsid w:val="19EF056A"/>
    <w:rsid w:val="1A0933D9"/>
    <w:rsid w:val="1A864A2A"/>
    <w:rsid w:val="1AE479A2"/>
    <w:rsid w:val="1B2E6E70"/>
    <w:rsid w:val="1B5C39DD"/>
    <w:rsid w:val="1BA809D0"/>
    <w:rsid w:val="1C4A1A87"/>
    <w:rsid w:val="1C5E0D76"/>
    <w:rsid w:val="1C8E7BC6"/>
    <w:rsid w:val="1D34223E"/>
    <w:rsid w:val="1D750EF3"/>
    <w:rsid w:val="1D866F2D"/>
    <w:rsid w:val="1D921938"/>
    <w:rsid w:val="1DBA40B0"/>
    <w:rsid w:val="1DED4DC0"/>
    <w:rsid w:val="1E1B7B7F"/>
    <w:rsid w:val="1E334EC9"/>
    <w:rsid w:val="1E470974"/>
    <w:rsid w:val="1E4D585F"/>
    <w:rsid w:val="1E71779F"/>
    <w:rsid w:val="1EBB0A1A"/>
    <w:rsid w:val="1F1C595D"/>
    <w:rsid w:val="1F2C1918"/>
    <w:rsid w:val="1F64045B"/>
    <w:rsid w:val="1F745799"/>
    <w:rsid w:val="1FBA6F24"/>
    <w:rsid w:val="20156AD9"/>
    <w:rsid w:val="20A84B08"/>
    <w:rsid w:val="219542EF"/>
    <w:rsid w:val="21A25EC1"/>
    <w:rsid w:val="21DA38AD"/>
    <w:rsid w:val="21F42BC1"/>
    <w:rsid w:val="224E75A2"/>
    <w:rsid w:val="227C4964"/>
    <w:rsid w:val="22C00CF5"/>
    <w:rsid w:val="22D91FDC"/>
    <w:rsid w:val="232748D0"/>
    <w:rsid w:val="233D40F4"/>
    <w:rsid w:val="23D5257E"/>
    <w:rsid w:val="241A4435"/>
    <w:rsid w:val="242157C3"/>
    <w:rsid w:val="2483022C"/>
    <w:rsid w:val="24CD14A7"/>
    <w:rsid w:val="252B1641"/>
    <w:rsid w:val="2547125A"/>
    <w:rsid w:val="254D3533"/>
    <w:rsid w:val="255C7446"/>
    <w:rsid w:val="26321F0A"/>
    <w:rsid w:val="265B2103"/>
    <w:rsid w:val="26897166"/>
    <w:rsid w:val="26A60202"/>
    <w:rsid w:val="26BD5C77"/>
    <w:rsid w:val="26C012C4"/>
    <w:rsid w:val="26E538E3"/>
    <w:rsid w:val="26EC20B9"/>
    <w:rsid w:val="27D94A95"/>
    <w:rsid w:val="281F6D2A"/>
    <w:rsid w:val="296F3A73"/>
    <w:rsid w:val="2976035F"/>
    <w:rsid w:val="298E38FB"/>
    <w:rsid w:val="298E6049"/>
    <w:rsid w:val="2A8645D2"/>
    <w:rsid w:val="2A8D3BB3"/>
    <w:rsid w:val="2A9E191C"/>
    <w:rsid w:val="2AA809EC"/>
    <w:rsid w:val="2AB32EED"/>
    <w:rsid w:val="2AF672CF"/>
    <w:rsid w:val="2B035C23"/>
    <w:rsid w:val="2B5446D0"/>
    <w:rsid w:val="2BD80E5D"/>
    <w:rsid w:val="2BEF61A7"/>
    <w:rsid w:val="2C624BCB"/>
    <w:rsid w:val="2C646B95"/>
    <w:rsid w:val="2CA13945"/>
    <w:rsid w:val="2CDC0FA6"/>
    <w:rsid w:val="2D045C82"/>
    <w:rsid w:val="2D1A7254"/>
    <w:rsid w:val="2D9B0395"/>
    <w:rsid w:val="2DAB71B2"/>
    <w:rsid w:val="2DE54BE0"/>
    <w:rsid w:val="2DF53F49"/>
    <w:rsid w:val="2DF9330D"/>
    <w:rsid w:val="2E0C7407"/>
    <w:rsid w:val="2E61338C"/>
    <w:rsid w:val="2EED4C20"/>
    <w:rsid w:val="2FA23C5C"/>
    <w:rsid w:val="300E12F2"/>
    <w:rsid w:val="302A3C52"/>
    <w:rsid w:val="303348B4"/>
    <w:rsid w:val="306B04F2"/>
    <w:rsid w:val="308B46F0"/>
    <w:rsid w:val="31376626"/>
    <w:rsid w:val="314825E1"/>
    <w:rsid w:val="31A43590"/>
    <w:rsid w:val="31BE4652"/>
    <w:rsid w:val="31CC4FC0"/>
    <w:rsid w:val="31EC7411"/>
    <w:rsid w:val="322D0B68"/>
    <w:rsid w:val="32382140"/>
    <w:rsid w:val="33557238"/>
    <w:rsid w:val="336E3E55"/>
    <w:rsid w:val="33B2468A"/>
    <w:rsid w:val="33D20888"/>
    <w:rsid w:val="342B29A4"/>
    <w:rsid w:val="344D0941"/>
    <w:rsid w:val="345E211C"/>
    <w:rsid w:val="34755C11"/>
    <w:rsid w:val="34E56399"/>
    <w:rsid w:val="35951B6D"/>
    <w:rsid w:val="35B069A7"/>
    <w:rsid w:val="35C83CF1"/>
    <w:rsid w:val="36260A17"/>
    <w:rsid w:val="36636A44"/>
    <w:rsid w:val="36CA5847"/>
    <w:rsid w:val="372F72D6"/>
    <w:rsid w:val="37621F23"/>
    <w:rsid w:val="37A63364"/>
    <w:rsid w:val="37A97B52"/>
    <w:rsid w:val="382316B2"/>
    <w:rsid w:val="385950D4"/>
    <w:rsid w:val="39A05D95"/>
    <w:rsid w:val="39A44A75"/>
    <w:rsid w:val="39B07817"/>
    <w:rsid w:val="39B34CB8"/>
    <w:rsid w:val="39B747A8"/>
    <w:rsid w:val="39D8471E"/>
    <w:rsid w:val="39ED4C94"/>
    <w:rsid w:val="3A221A8C"/>
    <w:rsid w:val="3A2B2AA0"/>
    <w:rsid w:val="3A397DF8"/>
    <w:rsid w:val="3A9E1BFA"/>
    <w:rsid w:val="3AE43E52"/>
    <w:rsid w:val="3B005CDB"/>
    <w:rsid w:val="3B007A89"/>
    <w:rsid w:val="3B2D52B8"/>
    <w:rsid w:val="3BB23D03"/>
    <w:rsid w:val="3BC62A80"/>
    <w:rsid w:val="3BDA652C"/>
    <w:rsid w:val="3BFE66BE"/>
    <w:rsid w:val="3C7C5835"/>
    <w:rsid w:val="3CD94A35"/>
    <w:rsid w:val="3CE82ECA"/>
    <w:rsid w:val="3D00165A"/>
    <w:rsid w:val="3D567144"/>
    <w:rsid w:val="3D8E75CE"/>
    <w:rsid w:val="3DDF607B"/>
    <w:rsid w:val="3E2C6DE7"/>
    <w:rsid w:val="3E8D5AD7"/>
    <w:rsid w:val="3EA64DEB"/>
    <w:rsid w:val="3F3441A5"/>
    <w:rsid w:val="3FA23836"/>
    <w:rsid w:val="3FB35A12"/>
    <w:rsid w:val="409A272E"/>
    <w:rsid w:val="409E3FCC"/>
    <w:rsid w:val="40A460C5"/>
    <w:rsid w:val="40D774DE"/>
    <w:rsid w:val="40F938F8"/>
    <w:rsid w:val="415031DD"/>
    <w:rsid w:val="428611BC"/>
    <w:rsid w:val="42E47C90"/>
    <w:rsid w:val="42F9198D"/>
    <w:rsid w:val="43E75C8A"/>
    <w:rsid w:val="43FB1735"/>
    <w:rsid w:val="44185E43"/>
    <w:rsid w:val="44427364"/>
    <w:rsid w:val="44613C8E"/>
    <w:rsid w:val="44DF00FF"/>
    <w:rsid w:val="456B4699"/>
    <w:rsid w:val="46712183"/>
    <w:rsid w:val="47A53E92"/>
    <w:rsid w:val="48A524ED"/>
    <w:rsid w:val="48A57EC2"/>
    <w:rsid w:val="48AA2445"/>
    <w:rsid w:val="492C413F"/>
    <w:rsid w:val="49303C2F"/>
    <w:rsid w:val="494152AC"/>
    <w:rsid w:val="49B87F49"/>
    <w:rsid w:val="49E96089"/>
    <w:rsid w:val="49FE5ADB"/>
    <w:rsid w:val="4A0A4480"/>
    <w:rsid w:val="4A482044"/>
    <w:rsid w:val="4A5751EC"/>
    <w:rsid w:val="4A6009BA"/>
    <w:rsid w:val="4A7367A7"/>
    <w:rsid w:val="4AEE78FE"/>
    <w:rsid w:val="4B7227CB"/>
    <w:rsid w:val="4BA34B8C"/>
    <w:rsid w:val="4BB26B7D"/>
    <w:rsid w:val="4BD74836"/>
    <w:rsid w:val="4C312198"/>
    <w:rsid w:val="4C3752D5"/>
    <w:rsid w:val="4C4D769E"/>
    <w:rsid w:val="4C523EBC"/>
    <w:rsid w:val="4C5D11DF"/>
    <w:rsid w:val="4C8E5836"/>
    <w:rsid w:val="4CF11927"/>
    <w:rsid w:val="4CF3569F"/>
    <w:rsid w:val="4DDB513D"/>
    <w:rsid w:val="4E402B66"/>
    <w:rsid w:val="4E9904C8"/>
    <w:rsid w:val="4EF7020E"/>
    <w:rsid w:val="4F1D6A04"/>
    <w:rsid w:val="4F4F6F67"/>
    <w:rsid w:val="4F7A3E56"/>
    <w:rsid w:val="4FAB19A3"/>
    <w:rsid w:val="4FB431FC"/>
    <w:rsid w:val="4FDC2C8D"/>
    <w:rsid w:val="50130A4A"/>
    <w:rsid w:val="501F67AB"/>
    <w:rsid w:val="503154A8"/>
    <w:rsid w:val="505129A0"/>
    <w:rsid w:val="50827461"/>
    <w:rsid w:val="5084660D"/>
    <w:rsid w:val="50B840F0"/>
    <w:rsid w:val="510C6D30"/>
    <w:rsid w:val="517327D8"/>
    <w:rsid w:val="51F06651"/>
    <w:rsid w:val="52077375"/>
    <w:rsid w:val="522E0F28"/>
    <w:rsid w:val="52BD438B"/>
    <w:rsid w:val="52E57838"/>
    <w:rsid w:val="52E956CD"/>
    <w:rsid w:val="5314011E"/>
    <w:rsid w:val="538D1815"/>
    <w:rsid w:val="53E9338D"/>
    <w:rsid w:val="541D1254"/>
    <w:rsid w:val="54300F87"/>
    <w:rsid w:val="5458228C"/>
    <w:rsid w:val="54F1694A"/>
    <w:rsid w:val="55342CF9"/>
    <w:rsid w:val="556E509D"/>
    <w:rsid w:val="55FB7373"/>
    <w:rsid w:val="569869C4"/>
    <w:rsid w:val="56E04EE6"/>
    <w:rsid w:val="572823EA"/>
    <w:rsid w:val="579A37A4"/>
    <w:rsid w:val="57A001D2"/>
    <w:rsid w:val="57BE4AFC"/>
    <w:rsid w:val="57C55E8A"/>
    <w:rsid w:val="580B5F93"/>
    <w:rsid w:val="58360B36"/>
    <w:rsid w:val="58B37C3A"/>
    <w:rsid w:val="5912188E"/>
    <w:rsid w:val="591C5F7E"/>
    <w:rsid w:val="59FD7B5D"/>
    <w:rsid w:val="5A812DA3"/>
    <w:rsid w:val="5A932270"/>
    <w:rsid w:val="5AA4622B"/>
    <w:rsid w:val="5B280FEA"/>
    <w:rsid w:val="5B6B6D49"/>
    <w:rsid w:val="5B9E711E"/>
    <w:rsid w:val="5BA364E3"/>
    <w:rsid w:val="5BA87F9D"/>
    <w:rsid w:val="5BCF1086"/>
    <w:rsid w:val="5C2018E1"/>
    <w:rsid w:val="5CFD70D9"/>
    <w:rsid w:val="5D3715D8"/>
    <w:rsid w:val="5D972077"/>
    <w:rsid w:val="5DCB1D21"/>
    <w:rsid w:val="5DE52DE2"/>
    <w:rsid w:val="5E284F12"/>
    <w:rsid w:val="5E2D6537"/>
    <w:rsid w:val="5F322057"/>
    <w:rsid w:val="5F3467FC"/>
    <w:rsid w:val="5F816B3B"/>
    <w:rsid w:val="5FE65C93"/>
    <w:rsid w:val="5FEA7E2D"/>
    <w:rsid w:val="5FED0683"/>
    <w:rsid w:val="601B02F8"/>
    <w:rsid w:val="60326E5F"/>
    <w:rsid w:val="606F4BE5"/>
    <w:rsid w:val="60CA052E"/>
    <w:rsid w:val="60CA62C0"/>
    <w:rsid w:val="6142679E"/>
    <w:rsid w:val="616B1851"/>
    <w:rsid w:val="61CF574C"/>
    <w:rsid w:val="61F21C51"/>
    <w:rsid w:val="6220263B"/>
    <w:rsid w:val="626544F2"/>
    <w:rsid w:val="62830E1C"/>
    <w:rsid w:val="62CF1D21"/>
    <w:rsid w:val="62D61FB0"/>
    <w:rsid w:val="63083634"/>
    <w:rsid w:val="63141A74"/>
    <w:rsid w:val="63A6078B"/>
    <w:rsid w:val="64D34C7C"/>
    <w:rsid w:val="64D67929"/>
    <w:rsid w:val="65752C9E"/>
    <w:rsid w:val="65B03A9A"/>
    <w:rsid w:val="65FF07B9"/>
    <w:rsid w:val="66106E6A"/>
    <w:rsid w:val="662621EA"/>
    <w:rsid w:val="664B7EA3"/>
    <w:rsid w:val="66CD1C6D"/>
    <w:rsid w:val="66D659BE"/>
    <w:rsid w:val="67533EA3"/>
    <w:rsid w:val="678A0557"/>
    <w:rsid w:val="67BD4FC1"/>
    <w:rsid w:val="67D93B65"/>
    <w:rsid w:val="687D0A56"/>
    <w:rsid w:val="688C4BBF"/>
    <w:rsid w:val="68C1444C"/>
    <w:rsid w:val="69450BD9"/>
    <w:rsid w:val="69635503"/>
    <w:rsid w:val="69B31FE7"/>
    <w:rsid w:val="69D65CD5"/>
    <w:rsid w:val="69D837FB"/>
    <w:rsid w:val="6A696B49"/>
    <w:rsid w:val="6A6C0858"/>
    <w:rsid w:val="6A9C1734"/>
    <w:rsid w:val="6AB06526"/>
    <w:rsid w:val="6AF536BB"/>
    <w:rsid w:val="6B8D6867"/>
    <w:rsid w:val="6B953355"/>
    <w:rsid w:val="6BB77172"/>
    <w:rsid w:val="6BF95CAB"/>
    <w:rsid w:val="6C545660"/>
    <w:rsid w:val="6C5D448C"/>
    <w:rsid w:val="6D2531FB"/>
    <w:rsid w:val="6D5E495F"/>
    <w:rsid w:val="6DB77BCC"/>
    <w:rsid w:val="6DD10C8D"/>
    <w:rsid w:val="6DE22E9A"/>
    <w:rsid w:val="6E790508"/>
    <w:rsid w:val="6E8B1784"/>
    <w:rsid w:val="6E8E6B7E"/>
    <w:rsid w:val="6EB20ABF"/>
    <w:rsid w:val="6F8166E3"/>
    <w:rsid w:val="70180DF5"/>
    <w:rsid w:val="70B623BC"/>
    <w:rsid w:val="70CC398E"/>
    <w:rsid w:val="716F713B"/>
    <w:rsid w:val="71CD79BE"/>
    <w:rsid w:val="726C71D7"/>
    <w:rsid w:val="72FD155C"/>
    <w:rsid w:val="7319398F"/>
    <w:rsid w:val="739D76DA"/>
    <w:rsid w:val="73D72D76"/>
    <w:rsid w:val="74066F39"/>
    <w:rsid w:val="74145D78"/>
    <w:rsid w:val="743C5B72"/>
    <w:rsid w:val="75241FEA"/>
    <w:rsid w:val="75AD1FE0"/>
    <w:rsid w:val="75AE311A"/>
    <w:rsid w:val="75E1612D"/>
    <w:rsid w:val="768E0063"/>
    <w:rsid w:val="76B45B73"/>
    <w:rsid w:val="77456248"/>
    <w:rsid w:val="776B5CAF"/>
    <w:rsid w:val="778015CC"/>
    <w:rsid w:val="77894387"/>
    <w:rsid w:val="77B32B86"/>
    <w:rsid w:val="77EB6DF0"/>
    <w:rsid w:val="78280044"/>
    <w:rsid w:val="787B4617"/>
    <w:rsid w:val="792B06C3"/>
    <w:rsid w:val="79773031"/>
    <w:rsid w:val="79A01B82"/>
    <w:rsid w:val="79C6607A"/>
    <w:rsid w:val="79CE0777"/>
    <w:rsid w:val="7A543372"/>
    <w:rsid w:val="7A9A13E4"/>
    <w:rsid w:val="7AAB4994"/>
    <w:rsid w:val="7AE85868"/>
    <w:rsid w:val="7B8B2DC3"/>
    <w:rsid w:val="7C8F6AD6"/>
    <w:rsid w:val="7C95557C"/>
    <w:rsid w:val="7CB65C1E"/>
    <w:rsid w:val="7D197F5B"/>
    <w:rsid w:val="7D20753B"/>
    <w:rsid w:val="7D4800F3"/>
    <w:rsid w:val="7D5B4A17"/>
    <w:rsid w:val="7DE844FD"/>
    <w:rsid w:val="7E046E5D"/>
    <w:rsid w:val="7E4E00D8"/>
    <w:rsid w:val="7ED75EB7"/>
    <w:rsid w:val="7F153A71"/>
    <w:rsid w:val="7F1B7FBA"/>
    <w:rsid w:val="7F1D3E8E"/>
    <w:rsid w:val="7F2C663B"/>
    <w:rsid w:val="7F3B065C"/>
    <w:rsid w:val="7FB4040F"/>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unhideWhenUsed/>
    <w:qFormat/>
    <w:uiPriority w:val="99"/>
    <w:pPr>
      <w:jc w:val="left"/>
    </w:pPr>
  </w:style>
  <w:style w:type="paragraph" w:styleId="6">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7">
    <w:name w:val="Body Text Indent 2"/>
    <w:basedOn w:val="1"/>
    <w:link w:val="28"/>
    <w:qFormat/>
    <w:uiPriority w:val="0"/>
    <w:pPr>
      <w:spacing w:after="120" w:line="480" w:lineRule="auto"/>
      <w:ind w:left="420" w:leftChars="200" w:hanging="357"/>
    </w:pPr>
    <w:rPr>
      <w:rFonts w:asciiTheme="minorHAnsi" w:hAnsiTheme="minorHAnsi" w:eastAsiaTheme="minorEastAsia" w:cstheme="minorBidi"/>
      <w:szCs w:val="22"/>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Subtitle"/>
    <w:basedOn w:val="1"/>
    <w:next w:val="1"/>
    <w:link w:val="30"/>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2">
    <w:name w:val="toc 2"/>
    <w:basedOn w:val="1"/>
    <w:next w:val="1"/>
    <w:unhideWhenUsed/>
    <w:qFormat/>
    <w:uiPriority w:val="39"/>
    <w:pPr>
      <w:ind w:left="420" w:leftChars="200"/>
    </w:pPr>
  </w:style>
  <w:style w:type="paragraph" w:styleId="13">
    <w:name w:val="Title"/>
    <w:basedOn w:val="1"/>
    <w:next w:val="1"/>
    <w:link w:val="26"/>
    <w:qFormat/>
    <w:uiPriority w:val="0"/>
    <w:pPr>
      <w:spacing w:before="240" w:after="60"/>
      <w:jc w:val="center"/>
      <w:outlineLvl w:val="0"/>
    </w:pPr>
    <w:rPr>
      <w:rFonts w:ascii="Cambria" w:hAnsi="Cambria"/>
      <w:b/>
      <w:bCs/>
      <w:kern w:val="0"/>
      <w:sz w:val="32"/>
      <w:szCs w:val="32"/>
    </w:rPr>
  </w:style>
  <w:style w:type="paragraph" w:styleId="14">
    <w:name w:val="annotation subject"/>
    <w:basedOn w:val="5"/>
    <w:next w:val="5"/>
    <w:link w:val="24"/>
    <w:semiHidden/>
    <w:unhideWhenUsed/>
    <w:qFormat/>
    <w:uiPriority w:val="99"/>
    <w:rPr>
      <w:b/>
      <w:bCs/>
    </w:rPr>
  </w:style>
  <w:style w:type="table" w:styleId="16">
    <w:name w:val="Table Grid"/>
    <w:basedOn w:val="1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9"/>
    <w:qFormat/>
    <w:uiPriority w:val="99"/>
    <w:rPr>
      <w:sz w:val="18"/>
      <w:szCs w:val="18"/>
    </w:rPr>
  </w:style>
  <w:style w:type="character" w:customStyle="1" w:styleId="22">
    <w:name w:val="页脚 字符"/>
    <w:basedOn w:val="17"/>
    <w:link w:val="8"/>
    <w:qFormat/>
    <w:uiPriority w:val="99"/>
    <w:rPr>
      <w:sz w:val="18"/>
      <w:szCs w:val="18"/>
    </w:rPr>
  </w:style>
  <w:style w:type="character" w:customStyle="1" w:styleId="23">
    <w:name w:val="批注文字 字符"/>
    <w:basedOn w:val="17"/>
    <w:link w:val="5"/>
    <w:qFormat/>
    <w:uiPriority w:val="99"/>
    <w:rPr>
      <w:rFonts w:ascii="Times New Roman" w:hAnsi="Times New Roman" w:eastAsia="宋体" w:cs="Times New Roman"/>
      <w:szCs w:val="24"/>
    </w:rPr>
  </w:style>
  <w:style w:type="character" w:customStyle="1" w:styleId="24">
    <w:name w:val="批注主题 字符"/>
    <w:basedOn w:val="23"/>
    <w:link w:val="14"/>
    <w:semiHidden/>
    <w:qFormat/>
    <w:uiPriority w:val="99"/>
    <w:rPr>
      <w:rFonts w:ascii="Times New Roman" w:hAnsi="Times New Roman" w:eastAsia="宋体" w:cs="Times New Roman"/>
      <w:b/>
      <w:bCs/>
      <w:szCs w:val="24"/>
    </w:rPr>
  </w:style>
  <w:style w:type="character" w:customStyle="1" w:styleId="25">
    <w:name w:val="标题 字符"/>
    <w:basedOn w:val="17"/>
    <w:qFormat/>
    <w:uiPriority w:val="10"/>
    <w:rPr>
      <w:rFonts w:asciiTheme="majorHAnsi" w:hAnsiTheme="majorHAnsi" w:eastAsiaTheme="majorEastAsia" w:cstheme="majorBidi"/>
      <w:b/>
      <w:bCs/>
      <w:sz w:val="32"/>
      <w:szCs w:val="32"/>
    </w:rPr>
  </w:style>
  <w:style w:type="character" w:customStyle="1" w:styleId="26">
    <w:name w:val="标题 字符1"/>
    <w:link w:val="13"/>
    <w:qFormat/>
    <w:uiPriority w:val="0"/>
    <w:rPr>
      <w:rFonts w:ascii="Cambria" w:hAnsi="Cambria" w:eastAsia="宋体" w:cs="Times New Roman"/>
      <w:b/>
      <w:bCs/>
      <w:kern w:val="0"/>
      <w:sz w:val="32"/>
      <w:szCs w:val="32"/>
    </w:rPr>
  </w:style>
  <w:style w:type="paragraph" w:styleId="27">
    <w:name w:val="List Paragraph"/>
    <w:basedOn w:val="1"/>
    <w:qFormat/>
    <w:uiPriority w:val="34"/>
    <w:pPr>
      <w:ind w:firstLine="420" w:firstLineChars="200"/>
    </w:pPr>
  </w:style>
  <w:style w:type="character" w:customStyle="1" w:styleId="28">
    <w:name w:val="正文文本缩进 2 字符"/>
    <w:link w:val="7"/>
    <w:qFormat/>
    <w:uiPriority w:val="0"/>
  </w:style>
  <w:style w:type="character" w:customStyle="1" w:styleId="29">
    <w:name w:val="正文文本缩进 2 字符1"/>
    <w:basedOn w:val="17"/>
    <w:semiHidden/>
    <w:qFormat/>
    <w:uiPriority w:val="99"/>
    <w:rPr>
      <w:rFonts w:ascii="Times New Roman" w:hAnsi="Times New Roman" w:eastAsia="宋体" w:cs="Times New Roman"/>
      <w:szCs w:val="24"/>
    </w:rPr>
  </w:style>
  <w:style w:type="character" w:customStyle="1" w:styleId="30">
    <w:name w:val="副标题 字符"/>
    <w:basedOn w:val="17"/>
    <w:link w:val="11"/>
    <w:qFormat/>
    <w:uiPriority w:val="11"/>
    <w:rPr>
      <w:b/>
      <w:bCs/>
      <w:kern w:val="28"/>
      <w:sz w:val="32"/>
      <w:szCs w:val="32"/>
    </w:rPr>
  </w:style>
  <w:style w:type="character" w:customStyle="1" w:styleId="31">
    <w:name w:val="标题 2 字符"/>
    <w:basedOn w:val="17"/>
    <w:link w:val="3"/>
    <w:semiHidden/>
    <w:qFormat/>
    <w:uiPriority w:val="9"/>
    <w:rPr>
      <w:rFonts w:asciiTheme="majorHAnsi" w:hAnsiTheme="majorHAnsi" w:eastAsiaTheme="majorEastAsia" w:cstheme="majorBidi"/>
      <w:b/>
      <w:bCs/>
      <w:sz w:val="32"/>
      <w:szCs w:val="32"/>
    </w:rPr>
  </w:style>
  <w:style w:type="character" w:customStyle="1" w:styleId="32">
    <w:name w:val="标题 3 字符"/>
    <w:basedOn w:val="17"/>
    <w:link w:val="4"/>
    <w:semiHidden/>
    <w:qFormat/>
    <w:uiPriority w:val="9"/>
    <w:rPr>
      <w:rFonts w:ascii="Times New Roman" w:hAnsi="Times New Roman" w:eastAsia="宋体" w:cs="Times New Roman"/>
      <w:b/>
      <w:bCs/>
      <w:sz w:val="32"/>
      <w:szCs w:val="32"/>
    </w:rPr>
  </w:style>
  <w:style w:type="character" w:customStyle="1" w:styleId="33">
    <w:name w:val="标题 1 字符"/>
    <w:basedOn w:val="17"/>
    <w:link w:val="2"/>
    <w:qFormat/>
    <w:uiPriority w:val="9"/>
    <w:rPr>
      <w:rFonts w:ascii="Times New Roman" w:hAnsi="Times New Roman" w:eastAsia="宋体" w:cs="Times New Roman"/>
      <w:b/>
      <w:bCs/>
      <w:kern w:val="44"/>
      <w:sz w:val="44"/>
      <w:szCs w:val="44"/>
    </w:rPr>
  </w:style>
  <w:style w:type="paragraph" w:customStyle="1" w:styleId="3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5">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633BE-32DC-4F48-9648-F681E0FA8048}">
  <ds:schemaRefs/>
</ds:datastoreItem>
</file>

<file path=docProps/app.xml><?xml version="1.0" encoding="utf-8"?>
<Properties xmlns="http://schemas.openxmlformats.org/officeDocument/2006/extended-properties" xmlns:vt="http://schemas.openxmlformats.org/officeDocument/2006/docPropsVTypes">
  <Template>Normal.dotm</Template>
  <Pages>9</Pages>
  <Words>5007</Words>
  <Characters>5159</Characters>
  <Lines>5</Lines>
  <Paragraphs>15</Paragraphs>
  <TotalTime>3</TotalTime>
  <ScaleCrop>false</ScaleCrop>
  <LinksUpToDate>false</LinksUpToDate>
  <CharactersWithSpaces>5205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2022-10-13T02:24:00Z</dcterms:created>
  <dc:creator>张 礼莉</dc:creator>
  <cp:lastModifiedBy>黄未</cp:lastModifiedBy>
  <dcterms:modified xsi:type="dcterms:W3CDTF">2026-07-23T08:11:07Z</dcterms:modified>
  <cp:revision>528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404A479476F341A28E03FF004CD974A5_13</vt:lpwstr>
  </property>
  <property fmtid="{D5CDD505-2E9C-101B-9397-08002B2CF9AE}" pid="4" name="KSOTemplateDocerSaveRecord">
    <vt:lpwstr>eyJoZGlkIjoiNDRiZWQ5NzlkMjE3Nzk2ODY5Mjk4OTE1NGIyMGUwZTIiLCJ1c2VySWQiOiIxMTUwNjMxMDcwIn0=</vt:lpwstr>
  </property>
</Properties>
</file>